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75" w:line="240" w:lineRule="auto"/>
        <w:ind w:right="0"/>
        <w:jc w:val="center"/>
        <w:rPr>
          <w:rFonts w:ascii="黑体" w:hAnsi="黑体" w:eastAsia="黑体" w:cs="黑体"/>
          <w:b/>
          <w:bCs/>
          <w:sz w:val="32"/>
          <w:szCs w:val="32"/>
          <w:highlight w:val="none"/>
        </w:rPr>
      </w:pPr>
      <w:r>
        <w:rPr>
          <w:rFonts w:ascii="黑体" w:hAnsi="黑体" w:eastAsia="黑体" w:cs="黑体"/>
          <w:b/>
          <w:bCs/>
          <w:sz w:val="32"/>
          <w:szCs w:val="32"/>
          <w:highlight w:val="none"/>
        </w:rPr>
        <w:t>沈阳师范大学马克思主义学院</w:t>
      </w:r>
    </w:p>
    <w:p>
      <w:pPr>
        <w:spacing w:after="175" w:line="240" w:lineRule="auto"/>
        <w:ind w:right="0"/>
        <w:jc w:val="center"/>
        <w:rPr>
          <w:b/>
          <w:bCs/>
          <w:sz w:val="32"/>
          <w:szCs w:val="32"/>
          <w:highlight w:val="none"/>
        </w:rPr>
      </w:pPr>
      <w:r>
        <w:rPr>
          <w:rFonts w:ascii="黑体" w:hAnsi="黑体" w:eastAsia="黑体" w:cs="黑体"/>
          <w:b/>
          <w:bCs/>
          <w:sz w:val="32"/>
          <w:szCs w:val="32"/>
          <w:highlight w:val="none"/>
        </w:rPr>
        <w:t>本科学生综合素质测评办法</w:t>
      </w:r>
    </w:p>
    <w:p>
      <w:pPr>
        <w:pStyle w:val="2"/>
        <w:spacing w:line="24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第一章 总 则</w:t>
      </w:r>
    </w:p>
    <w:p>
      <w:pPr>
        <w:spacing w:after="133" w:line="360" w:lineRule="auto"/>
        <w:ind w:left="210" w:leftChars="100" w:firstLine="548" w:firstLineChars="195"/>
        <w:jc w:val="both"/>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第一条 </w:t>
      </w:r>
      <w:r>
        <w:rPr>
          <w:rFonts w:hint="eastAsia" w:ascii="宋体" w:hAnsi="宋体" w:eastAsia="宋体" w:cs="宋体"/>
          <w:sz w:val="28"/>
          <w:szCs w:val="28"/>
          <w:highlight w:val="none"/>
        </w:rPr>
        <w:t>为了全面贯彻党的教育方针，树立科学成才观念，切实做好学生综合素质评价，培养广大学生成为新时代德智体美劳全面发展的能够担当民族复兴大任的社会主义事业的建设者和可靠的接班人，特制定本办法。</w:t>
      </w:r>
    </w:p>
    <w:p>
      <w:pPr>
        <w:spacing w:after="133" w:line="360" w:lineRule="auto"/>
        <w:ind w:left="210" w:leftChars="100" w:firstLine="548" w:firstLineChars="195"/>
        <w:jc w:val="both"/>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第二条 </w:t>
      </w:r>
      <w:r>
        <w:rPr>
          <w:rFonts w:hint="eastAsia" w:ascii="宋体" w:hAnsi="宋体" w:eastAsia="宋体" w:cs="宋体"/>
          <w:sz w:val="28"/>
          <w:szCs w:val="28"/>
          <w:highlight w:val="none"/>
        </w:rPr>
        <w:t>本办法根据国家教育部颁布的《普通高等学校学生管理规定》《高等学校学生行为准则》《深化新时代教育评价改革总体方案》等文件的精神而制定，结合实际对学生的综合素质进行考核评价，体现高等教育和管理的目标和要求。</w:t>
      </w:r>
    </w:p>
    <w:p>
      <w:pPr>
        <w:spacing w:after="133" w:line="360" w:lineRule="auto"/>
        <w:ind w:left="210" w:leftChars="100" w:firstLine="548" w:firstLineChars="195"/>
        <w:jc w:val="both"/>
        <w:rPr>
          <w:rFonts w:hint="eastAsia" w:ascii="宋体" w:hAnsi="宋体" w:eastAsia="宋体" w:cs="宋体"/>
          <w:sz w:val="28"/>
          <w:szCs w:val="28"/>
          <w:highlight w:val="none"/>
        </w:rPr>
      </w:pPr>
      <w:r>
        <w:rPr>
          <w:rFonts w:hint="eastAsia" w:ascii="宋体" w:hAnsi="宋体" w:eastAsia="宋体" w:cs="宋体"/>
          <w:b/>
          <w:bCs/>
          <w:sz w:val="28"/>
          <w:szCs w:val="28"/>
          <w:highlight w:val="none"/>
        </w:rPr>
        <w:t>第三条</w:t>
      </w:r>
      <w:r>
        <w:rPr>
          <w:rFonts w:hint="eastAsia" w:ascii="宋体" w:hAnsi="宋体" w:eastAsia="宋体" w:cs="宋体"/>
          <w:sz w:val="28"/>
          <w:szCs w:val="28"/>
          <w:highlight w:val="none"/>
        </w:rPr>
        <w:t xml:space="preserve"> 综合素质测评的宗旨是切实引导学生坚定理想信念、厚植爱国主义情怀、加强品德修养、增长知识见识、培养奋斗精神、增强综合素质，让学生学会设计自己、塑造自己、营销自己，帮助学生找出差距，激励学生不断进取。</w:t>
      </w:r>
    </w:p>
    <w:p>
      <w:pPr>
        <w:spacing w:after="133" w:line="360" w:lineRule="auto"/>
        <w:ind w:left="210" w:leftChars="100" w:firstLine="548" w:firstLineChars="195"/>
        <w:jc w:val="both"/>
        <w:rPr>
          <w:rFonts w:hint="eastAsia" w:ascii="宋体" w:hAnsi="宋体" w:eastAsia="宋体" w:cs="宋体"/>
          <w:sz w:val="28"/>
          <w:szCs w:val="28"/>
          <w:highlight w:val="none"/>
        </w:rPr>
      </w:pPr>
      <w:r>
        <w:rPr>
          <w:rFonts w:hint="eastAsia" w:ascii="宋体" w:hAnsi="宋体" w:eastAsia="宋体" w:cs="宋体"/>
          <w:b/>
          <w:bCs/>
          <w:sz w:val="28"/>
          <w:szCs w:val="28"/>
          <w:highlight w:val="none"/>
        </w:rPr>
        <w:t>第四条</w:t>
      </w:r>
      <w:r>
        <w:rPr>
          <w:rFonts w:hint="eastAsia" w:ascii="宋体" w:hAnsi="宋体" w:eastAsia="宋体" w:cs="宋体"/>
          <w:sz w:val="28"/>
          <w:szCs w:val="28"/>
          <w:highlight w:val="none"/>
        </w:rPr>
        <w:t xml:space="preserve"> 综合素质测评坚持客观、公平、公正、民主、公开的原则。综合素质测评要在实践中不断完善，注重学生日常行为和表现的客观记录，探索推广在线信息填报和评审，逐步实现对学生评价的科学化、信息化、规范化，促进学生思想教育与管理工作的协调和统一。</w:t>
      </w:r>
    </w:p>
    <w:p>
      <w:pPr>
        <w:spacing w:line="360" w:lineRule="auto"/>
        <w:ind w:left="210" w:leftChars="100" w:right="13" w:firstLine="548" w:firstLineChars="195"/>
        <w:jc w:val="both"/>
        <w:rPr>
          <w:rFonts w:hint="eastAsia" w:ascii="宋体" w:hAnsi="宋体" w:eastAsia="宋体" w:cs="宋体"/>
          <w:sz w:val="28"/>
          <w:szCs w:val="28"/>
          <w:highlight w:val="none"/>
        </w:rPr>
      </w:pPr>
      <w:r>
        <w:rPr>
          <w:rFonts w:hint="eastAsia" w:ascii="宋体" w:hAnsi="宋体" w:eastAsia="宋体" w:cs="宋体"/>
          <w:b/>
          <w:bCs/>
          <w:sz w:val="28"/>
          <w:szCs w:val="28"/>
          <w:highlight w:val="none"/>
        </w:rPr>
        <w:t>第五条</w:t>
      </w:r>
      <w:r>
        <w:rPr>
          <w:rFonts w:hint="eastAsia" w:ascii="宋体" w:hAnsi="宋体" w:eastAsia="宋体" w:cs="宋体"/>
          <w:sz w:val="28"/>
          <w:szCs w:val="28"/>
          <w:highlight w:val="none"/>
        </w:rPr>
        <w:t xml:space="preserve"> 综合素质测评的内容包括德育测评、智育测评和文体测评三个方面。综合素质测评成绩的构成和比例为：德育测评得分占 20%，智育测评得分占 70%，文体测评得分占 10%。</w:t>
      </w:r>
    </w:p>
    <w:p>
      <w:pPr>
        <w:pStyle w:val="3"/>
        <w:spacing w:after="64" w:line="360" w:lineRule="auto"/>
        <w:ind w:left="0" w:firstLine="0"/>
        <w:jc w:val="center"/>
        <w:rPr>
          <w:highlight w:val="none"/>
        </w:rPr>
      </w:pPr>
      <w:r>
        <w:rPr>
          <w:highlight w:val="none"/>
        </w:rPr>
        <w:t>综合素质测评总分=德育测评分*20%+智育测评分*70%+文体测评分*10%</w:t>
      </w:r>
    </w:p>
    <w:p>
      <w:pPr>
        <w:numPr>
          <w:ilvl w:val="0"/>
          <w:numId w:val="0"/>
        </w:numPr>
        <w:spacing w:line="360" w:lineRule="auto"/>
        <w:ind w:right="13" w:rightChars="0" w:firstLine="843" w:firstLineChars="300"/>
        <w:jc w:val="both"/>
        <w:rPr>
          <w:sz w:val="28"/>
          <w:szCs w:val="28"/>
          <w:highlight w:val="none"/>
        </w:rPr>
      </w:pPr>
      <w:r>
        <w:rPr>
          <w:rFonts w:hint="eastAsia"/>
          <w:b/>
          <w:bCs/>
          <w:sz w:val="28"/>
          <w:szCs w:val="28"/>
          <w:highlight w:val="none"/>
          <w:lang w:val="en-US" w:eastAsia="zh-CN"/>
        </w:rPr>
        <w:t>第六条</w:t>
      </w:r>
      <w:r>
        <w:rPr>
          <w:rFonts w:hint="eastAsia"/>
          <w:sz w:val="28"/>
          <w:szCs w:val="28"/>
          <w:highlight w:val="none"/>
          <w:lang w:val="en-US" w:eastAsia="zh-CN"/>
        </w:rPr>
        <w:t xml:space="preserve"> </w:t>
      </w:r>
      <w:r>
        <w:rPr>
          <w:sz w:val="28"/>
          <w:szCs w:val="28"/>
          <w:highlight w:val="none"/>
        </w:rPr>
        <w:t>综合素质测评结果可作为党员发展、评定奖学金、评选优秀学生、优秀学生干部、优秀毕业生等先进个人及推荐优秀应届本科毕业生免试攻读研究生的主要依据。</w:t>
      </w:r>
    </w:p>
    <w:p>
      <w:pPr>
        <w:numPr>
          <w:ilvl w:val="0"/>
          <w:numId w:val="0"/>
        </w:numPr>
        <w:spacing w:line="360" w:lineRule="auto"/>
        <w:ind w:right="13" w:rightChars="0" w:firstLine="843" w:firstLineChars="300"/>
        <w:jc w:val="both"/>
        <w:rPr>
          <w:sz w:val="28"/>
          <w:szCs w:val="28"/>
          <w:highlight w:val="none"/>
        </w:rPr>
      </w:pPr>
      <w:r>
        <w:rPr>
          <w:b/>
          <w:bCs/>
          <w:sz w:val="28"/>
          <w:szCs w:val="28"/>
          <w:highlight w:val="none"/>
        </w:rPr>
        <w:t>第七条</w:t>
      </w:r>
      <w:r>
        <w:rPr>
          <w:sz w:val="28"/>
          <w:szCs w:val="28"/>
          <w:highlight w:val="none"/>
        </w:rPr>
        <w:t xml:space="preserve"> 综合素质测评适用的对象为全日制在籍在校本科学生。</w:t>
      </w:r>
    </w:p>
    <w:p>
      <w:pPr>
        <w:pStyle w:val="2"/>
        <w:spacing w:line="240" w:lineRule="auto"/>
        <w:ind w:right="27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第二章 内容和赋分标准</w:t>
      </w:r>
    </w:p>
    <w:p>
      <w:pPr>
        <w:numPr>
          <w:ilvl w:val="0"/>
          <w:numId w:val="0"/>
        </w:numPr>
        <w:spacing w:line="360" w:lineRule="auto"/>
        <w:ind w:right="13" w:rightChars="0" w:firstLine="843" w:firstLineChars="300"/>
        <w:jc w:val="both"/>
        <w:rPr>
          <w:rFonts w:hint="eastAsia"/>
          <w:b w:val="0"/>
          <w:bCs w:val="0"/>
          <w:sz w:val="28"/>
          <w:szCs w:val="28"/>
          <w:highlight w:val="none"/>
          <w:lang w:val="en-US" w:eastAsia="zh-CN"/>
        </w:rPr>
      </w:pPr>
      <w:r>
        <w:rPr>
          <w:rFonts w:hint="eastAsia"/>
          <w:b/>
          <w:bCs/>
          <w:sz w:val="28"/>
          <w:szCs w:val="28"/>
          <w:highlight w:val="none"/>
          <w:lang w:val="en-US" w:eastAsia="zh-CN"/>
        </w:rPr>
        <w:t>第八条</w:t>
      </w:r>
      <w:r>
        <w:rPr>
          <w:rFonts w:hint="eastAsia"/>
          <w:b w:val="0"/>
          <w:bCs w:val="0"/>
          <w:sz w:val="28"/>
          <w:szCs w:val="28"/>
          <w:highlight w:val="none"/>
          <w:lang w:val="en-US" w:eastAsia="zh-CN"/>
        </w:rPr>
        <w:t xml:space="preserve"> 德育测评。德育测评主要评估学生政治表现、思想修养、道德品质及劳动素养，</w:t>
      </w:r>
    </w:p>
    <w:p>
      <w:pPr>
        <w:numPr>
          <w:ilvl w:val="0"/>
          <w:numId w:val="0"/>
        </w:numPr>
        <w:spacing w:line="360" w:lineRule="auto"/>
        <w:ind w:right="13" w:rightChars="0" w:firstLine="840" w:firstLineChars="300"/>
        <w:jc w:val="both"/>
        <w:rPr>
          <w:rFonts w:hint="eastAsia"/>
          <w:b w:val="0"/>
          <w:bCs w:val="0"/>
          <w:sz w:val="28"/>
          <w:szCs w:val="28"/>
          <w:highlight w:val="none"/>
          <w:lang w:val="en-US" w:eastAsia="zh-CN"/>
        </w:rPr>
      </w:pPr>
      <w:r>
        <w:rPr>
          <w:rFonts w:hint="eastAsia"/>
          <w:b w:val="0"/>
          <w:bCs w:val="0"/>
          <w:sz w:val="28"/>
          <w:szCs w:val="28"/>
          <w:highlight w:val="none"/>
          <w:lang w:val="en-US" w:eastAsia="zh-CN"/>
        </w:rPr>
        <w:t>由德育测评基础分、德育测评奖励分、德育测评扣分组成，满分为 100 分。其中，基础分满分为 60 分，奖励分满分为 40 分。</w:t>
      </w:r>
    </w:p>
    <w:p>
      <w:pPr>
        <w:pStyle w:val="3"/>
        <w:spacing w:line="360" w:lineRule="auto"/>
        <w:ind w:left="1214" w:leftChars="578" w:right="0" w:firstLine="1037" w:firstLineChars="494"/>
        <w:jc w:val="left"/>
        <w:rPr>
          <w:highlight w:val="none"/>
        </w:rPr>
      </w:pPr>
      <w:r>
        <w:rPr>
          <w:highlight w:val="none"/>
        </w:rPr>
        <w:t>德育测评得分的计算公式为：基础分+奖励分－扣分</w:t>
      </w:r>
    </w:p>
    <w:p>
      <w:pPr>
        <w:spacing w:after="110" w:line="360" w:lineRule="auto"/>
        <w:ind w:left="578" w:right="13"/>
        <w:rPr>
          <w:b/>
          <w:bCs/>
          <w:highlight w:val="none"/>
        </w:rPr>
      </w:pPr>
    </w:p>
    <w:p>
      <w:pPr>
        <w:spacing w:after="110" w:line="360" w:lineRule="auto"/>
        <w:ind w:left="578" w:right="13"/>
        <w:rPr>
          <w:b/>
          <w:bCs/>
          <w:highlight w:val="none"/>
        </w:rPr>
      </w:pPr>
    </w:p>
    <w:p>
      <w:pPr>
        <w:spacing w:after="110" w:line="360" w:lineRule="auto"/>
        <w:ind w:left="578" w:right="13"/>
        <w:rPr>
          <w:b/>
          <w:bCs/>
          <w:highlight w:val="none"/>
        </w:rPr>
      </w:pPr>
    </w:p>
    <w:p>
      <w:pPr>
        <w:spacing w:after="110" w:line="360" w:lineRule="auto"/>
        <w:ind w:left="578" w:right="13"/>
        <w:rPr>
          <w:b/>
          <w:bCs/>
          <w:sz w:val="28"/>
          <w:szCs w:val="28"/>
          <w:highlight w:val="none"/>
        </w:rPr>
      </w:pPr>
      <w:r>
        <w:rPr>
          <w:b/>
          <w:bCs/>
          <w:sz w:val="28"/>
          <w:szCs w:val="28"/>
          <w:highlight w:val="none"/>
        </w:rPr>
        <w:t>（一）德育测评基础分</w:t>
      </w:r>
    </w:p>
    <w:p>
      <w:pPr>
        <w:spacing w:after="126" w:line="360" w:lineRule="auto"/>
        <w:ind w:left="139" w:right="13" w:firstLine="444"/>
        <w:rPr>
          <w:sz w:val="28"/>
          <w:szCs w:val="28"/>
          <w:highlight w:val="none"/>
        </w:rPr>
      </w:pPr>
      <w:r>
        <w:rPr>
          <w:sz w:val="28"/>
          <w:szCs w:val="28"/>
          <w:highlight w:val="none"/>
        </w:rPr>
        <w:t>1.坚持以马克思列宁主义、毛泽东思想、邓小平理论、“三个代表”重要思想、科学发展观和习近平新时代中国特色社会主义思想为指导，树立共产主义远大理想和中国特色社会主义共同理想，能够树立科学的世界观、人生观和价值观；</w:t>
      </w:r>
    </w:p>
    <w:p>
      <w:pPr>
        <w:spacing w:after="126" w:line="360" w:lineRule="auto"/>
        <w:ind w:left="139" w:right="13" w:firstLine="444"/>
        <w:rPr>
          <w:sz w:val="28"/>
          <w:szCs w:val="28"/>
          <w:highlight w:val="none"/>
        </w:rPr>
      </w:pPr>
      <w:r>
        <w:rPr>
          <w:sz w:val="28"/>
          <w:szCs w:val="28"/>
          <w:highlight w:val="none"/>
        </w:rPr>
        <w:t>2.树立爱国主义思想，传承红色基因，践行社会主义核心价值观，树牢“四个意识” 坚定“四个自信”，热爱和拥护中国共产党，立志听党话、跟党走，立志扎根人民、奉献国家；</w:t>
      </w:r>
    </w:p>
    <w:p>
      <w:pPr>
        <w:spacing w:after="126" w:line="360" w:lineRule="auto"/>
        <w:ind w:left="139" w:right="13" w:firstLine="444"/>
        <w:rPr>
          <w:sz w:val="28"/>
          <w:szCs w:val="28"/>
          <w:highlight w:val="none"/>
        </w:rPr>
      </w:pPr>
      <w:r>
        <w:rPr>
          <w:sz w:val="28"/>
          <w:szCs w:val="28"/>
          <w:highlight w:val="none"/>
        </w:rPr>
        <w:t>3.遵守国家各项法律，遵守公民道德规范，遵守学校各项规章制度，涵养教师职业道德，具有良好的道德品质和行为习惯；</w:t>
      </w:r>
    </w:p>
    <w:p>
      <w:pPr>
        <w:spacing w:after="126" w:line="360" w:lineRule="auto"/>
        <w:ind w:left="139" w:right="13" w:firstLine="444"/>
        <w:rPr>
          <w:sz w:val="28"/>
          <w:szCs w:val="28"/>
          <w:highlight w:val="none"/>
        </w:rPr>
      </w:pPr>
      <w:r>
        <w:rPr>
          <w:sz w:val="28"/>
          <w:szCs w:val="28"/>
          <w:highlight w:val="none"/>
        </w:rPr>
        <w:t>4.学习目的明确，学习态度端正，勇于创新，积极实践，恪守学术道德；</w:t>
      </w:r>
    </w:p>
    <w:p>
      <w:pPr>
        <w:spacing w:after="126" w:line="360" w:lineRule="auto"/>
        <w:ind w:left="139" w:right="13" w:firstLine="444"/>
        <w:rPr>
          <w:sz w:val="28"/>
          <w:szCs w:val="28"/>
          <w:highlight w:val="none"/>
        </w:rPr>
      </w:pPr>
      <w:r>
        <w:rPr>
          <w:sz w:val="28"/>
          <w:szCs w:val="28"/>
          <w:highlight w:val="none"/>
        </w:rPr>
        <w:t>5.树立劳动精神，崇尚劳动、尊重劳动，积极参加社会实践，学会辛勤劳动、诚实劳动、创造性劳动，锻炼劳动能力，养成劳动和勤俭节约习惯；</w:t>
      </w:r>
    </w:p>
    <w:p>
      <w:pPr>
        <w:spacing w:after="126" w:line="360" w:lineRule="auto"/>
        <w:ind w:left="139" w:right="13" w:firstLine="444"/>
        <w:rPr>
          <w:sz w:val="28"/>
          <w:szCs w:val="28"/>
          <w:highlight w:val="none"/>
        </w:rPr>
      </w:pPr>
      <w:r>
        <w:rPr>
          <w:sz w:val="28"/>
          <w:szCs w:val="28"/>
          <w:highlight w:val="none"/>
        </w:rPr>
        <w:t>6.尊敬师长，明礼守信，言行文明，拥有良好的基础文明素养；</w:t>
      </w:r>
    </w:p>
    <w:p>
      <w:pPr>
        <w:spacing w:after="126" w:line="360" w:lineRule="auto"/>
        <w:ind w:left="139" w:right="13" w:firstLine="444"/>
        <w:rPr>
          <w:sz w:val="28"/>
          <w:szCs w:val="28"/>
          <w:highlight w:val="none"/>
        </w:rPr>
      </w:pPr>
      <w:r>
        <w:rPr>
          <w:sz w:val="28"/>
          <w:szCs w:val="28"/>
          <w:highlight w:val="none"/>
        </w:rPr>
        <w:t>7.关心集体和他人，积极参加集体活动和公益事业，热心为同学服务，责任心强，努力完成党、团、学生会及班级交给的任务。</w:t>
      </w:r>
    </w:p>
    <w:p>
      <w:pPr>
        <w:spacing w:after="102" w:line="360" w:lineRule="auto"/>
        <w:ind w:left="578" w:right="13"/>
        <w:rPr>
          <w:b/>
          <w:bCs/>
          <w:sz w:val="28"/>
          <w:szCs w:val="28"/>
          <w:highlight w:val="none"/>
        </w:rPr>
      </w:pPr>
      <w:r>
        <w:rPr>
          <w:b/>
          <w:bCs/>
          <w:sz w:val="28"/>
          <w:szCs w:val="28"/>
          <w:highlight w:val="none"/>
        </w:rPr>
        <w:t>（二）德育测评奖励分</w:t>
      </w:r>
    </w:p>
    <w:p>
      <w:pPr>
        <w:spacing w:after="0" w:line="360" w:lineRule="auto"/>
        <w:ind w:left="190" w:right="742"/>
        <w:jc w:val="center"/>
        <w:rPr>
          <w:b/>
          <w:bCs/>
          <w:highlight w:val="none"/>
        </w:rPr>
      </w:pPr>
      <w:r>
        <w:rPr>
          <w:b/>
          <w:bCs/>
          <w:highlight w:val="none"/>
        </w:rPr>
        <w:t>表1荣誉称号加分标准（单位：分）</w:t>
      </w:r>
    </w:p>
    <w:tbl>
      <w:tblPr>
        <w:tblStyle w:val="10"/>
        <w:tblW w:w="8057" w:type="dxa"/>
        <w:jc w:val="center"/>
        <w:tblLayout w:type="autofit"/>
        <w:tblCellMar>
          <w:top w:w="149" w:type="dxa"/>
          <w:left w:w="124" w:type="dxa"/>
          <w:bottom w:w="0" w:type="dxa"/>
          <w:right w:w="116" w:type="dxa"/>
        </w:tblCellMar>
      </w:tblPr>
      <w:tblGrid>
        <w:gridCol w:w="1578"/>
        <w:gridCol w:w="1480"/>
        <w:gridCol w:w="1140"/>
        <w:gridCol w:w="1462"/>
        <w:gridCol w:w="1250"/>
        <w:gridCol w:w="1147"/>
      </w:tblGrid>
      <w:tr>
        <w:tblPrEx>
          <w:tblCellMar>
            <w:top w:w="149" w:type="dxa"/>
            <w:left w:w="124" w:type="dxa"/>
            <w:bottom w:w="0" w:type="dxa"/>
            <w:right w:w="116" w:type="dxa"/>
          </w:tblCellMar>
        </w:tblPrEx>
        <w:trPr>
          <w:trHeight w:val="315" w:hRule="atLeast"/>
          <w:jc w:val="center"/>
        </w:trPr>
        <w:tc>
          <w:tcPr>
            <w:tcW w:w="3058"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0" w:right="1" w:firstLine="0"/>
              <w:jc w:val="center"/>
              <w:rPr>
                <w:b/>
                <w:bCs/>
                <w:highlight w:val="none"/>
              </w:rPr>
            </w:pPr>
            <w:r>
              <w:rPr>
                <w:b/>
                <w:bCs/>
                <w:highlight w:val="none"/>
              </w:rPr>
              <w:t>类别</w:t>
            </w:r>
          </w:p>
        </w:tc>
        <w:tc>
          <w:tcPr>
            <w:tcW w:w="1140" w:type="dxa"/>
            <w:tcBorders>
              <w:top w:val="single" w:color="000000" w:sz="4" w:space="0"/>
              <w:left w:val="single" w:color="000000" w:sz="4" w:space="0"/>
              <w:bottom w:val="single" w:color="000000" w:sz="4" w:space="0"/>
              <w:right w:val="single" w:color="000000" w:sz="4" w:space="0"/>
            </w:tcBorders>
          </w:tcPr>
          <w:p>
            <w:pPr>
              <w:spacing w:after="0" w:line="240" w:lineRule="auto"/>
              <w:ind w:left="210" w:right="0" w:firstLine="0"/>
              <w:rPr>
                <w:b/>
                <w:bCs/>
                <w:highlight w:val="none"/>
              </w:rPr>
            </w:pPr>
            <w:r>
              <w:rPr>
                <w:b/>
                <w:bCs/>
                <w:highlight w:val="none"/>
              </w:rPr>
              <w:t>国家级</w:t>
            </w:r>
          </w:p>
        </w:tc>
        <w:tc>
          <w:tcPr>
            <w:tcW w:w="1462" w:type="dxa"/>
            <w:tcBorders>
              <w:top w:val="single" w:color="000000" w:sz="4" w:space="0"/>
              <w:left w:val="single" w:color="000000" w:sz="4" w:space="0"/>
              <w:bottom w:val="single" w:color="000000" w:sz="4" w:space="0"/>
              <w:right w:val="single" w:color="000000" w:sz="4" w:space="0"/>
            </w:tcBorders>
          </w:tcPr>
          <w:p>
            <w:pPr>
              <w:spacing w:after="0" w:line="240" w:lineRule="auto"/>
              <w:ind w:left="86" w:right="0" w:firstLine="0"/>
              <w:rPr>
                <w:b/>
                <w:bCs/>
                <w:highlight w:val="none"/>
              </w:rPr>
            </w:pPr>
            <w:r>
              <w:rPr>
                <w:b/>
                <w:bCs/>
                <w:highlight w:val="none"/>
              </w:rPr>
              <w:t>省（部）级</w:t>
            </w:r>
          </w:p>
        </w:tc>
        <w:tc>
          <w:tcPr>
            <w:tcW w:w="1250" w:type="dxa"/>
            <w:tcBorders>
              <w:top w:val="single" w:color="000000" w:sz="4" w:space="0"/>
              <w:left w:val="single" w:color="000000" w:sz="4" w:space="0"/>
              <w:bottom w:val="single" w:color="000000" w:sz="4" w:space="0"/>
              <w:right w:val="single" w:color="000000" w:sz="4" w:space="0"/>
            </w:tcBorders>
          </w:tcPr>
          <w:p>
            <w:pPr>
              <w:spacing w:after="0" w:line="240" w:lineRule="auto"/>
              <w:ind w:left="292" w:right="0" w:firstLine="0"/>
              <w:rPr>
                <w:b/>
                <w:bCs/>
                <w:highlight w:val="none"/>
              </w:rPr>
            </w:pPr>
            <w:r>
              <w:rPr>
                <w:b/>
                <w:bCs/>
                <w:highlight w:val="none"/>
              </w:rPr>
              <w:t>市级</w:t>
            </w:r>
          </w:p>
        </w:tc>
        <w:tc>
          <w:tcPr>
            <w:tcW w:w="1147" w:type="dxa"/>
            <w:tcBorders>
              <w:top w:val="single" w:color="000000" w:sz="4" w:space="0"/>
              <w:left w:val="single" w:color="000000" w:sz="4" w:space="0"/>
              <w:bottom w:val="single" w:color="000000" w:sz="4" w:space="0"/>
              <w:right w:val="single" w:color="000000" w:sz="4" w:space="0"/>
            </w:tcBorders>
          </w:tcPr>
          <w:p>
            <w:pPr>
              <w:spacing w:after="0" w:line="240" w:lineRule="auto"/>
              <w:ind w:left="240" w:right="0" w:firstLine="0"/>
              <w:rPr>
                <w:b/>
                <w:bCs/>
                <w:highlight w:val="none"/>
              </w:rPr>
            </w:pPr>
            <w:r>
              <w:rPr>
                <w:b/>
                <w:bCs/>
                <w:highlight w:val="none"/>
              </w:rPr>
              <w:t>校级</w:t>
            </w:r>
          </w:p>
        </w:tc>
      </w:tr>
      <w:tr>
        <w:tblPrEx>
          <w:tblCellMar>
            <w:top w:w="149" w:type="dxa"/>
            <w:left w:w="124" w:type="dxa"/>
            <w:bottom w:w="0" w:type="dxa"/>
            <w:right w:w="116" w:type="dxa"/>
          </w:tblCellMar>
        </w:tblPrEx>
        <w:trPr>
          <w:trHeight w:val="366" w:hRule="atLeast"/>
          <w:jc w:val="center"/>
        </w:trPr>
        <w:tc>
          <w:tcPr>
            <w:tcW w:w="3058"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0" w:right="1" w:firstLine="0"/>
              <w:jc w:val="center"/>
              <w:rPr>
                <w:highlight w:val="none"/>
              </w:rPr>
            </w:pPr>
            <w:r>
              <w:rPr>
                <w:highlight w:val="none"/>
              </w:rPr>
              <w:t>个人荣誉称号</w:t>
            </w:r>
          </w:p>
        </w:tc>
        <w:tc>
          <w:tcPr>
            <w:tcW w:w="1140" w:type="dxa"/>
            <w:tcBorders>
              <w:top w:val="single" w:color="000000" w:sz="4" w:space="0"/>
              <w:left w:val="single" w:color="000000" w:sz="4" w:space="0"/>
              <w:bottom w:val="single" w:color="000000" w:sz="4" w:space="0"/>
              <w:right w:val="single" w:color="000000" w:sz="4" w:space="0"/>
            </w:tcBorders>
          </w:tcPr>
          <w:p>
            <w:pPr>
              <w:spacing w:after="0" w:line="240" w:lineRule="auto"/>
              <w:ind w:left="0" w:right="0" w:firstLine="0"/>
              <w:jc w:val="center"/>
              <w:rPr>
                <w:highlight w:val="none"/>
              </w:rPr>
            </w:pPr>
            <w:r>
              <w:rPr>
                <w:highlight w:val="none"/>
              </w:rPr>
              <w:t>10</w:t>
            </w:r>
          </w:p>
        </w:tc>
        <w:tc>
          <w:tcPr>
            <w:tcW w:w="1462" w:type="dxa"/>
            <w:tcBorders>
              <w:top w:val="single" w:color="000000" w:sz="4" w:space="0"/>
              <w:left w:val="single" w:color="000000" w:sz="4" w:space="0"/>
              <w:bottom w:val="single" w:color="000000" w:sz="4" w:space="0"/>
              <w:right w:val="single" w:color="000000" w:sz="4" w:space="0"/>
            </w:tcBorders>
          </w:tcPr>
          <w:p>
            <w:pPr>
              <w:spacing w:after="0" w:line="240" w:lineRule="auto"/>
              <w:ind w:left="0" w:right="2" w:firstLine="0"/>
              <w:jc w:val="center"/>
              <w:rPr>
                <w:highlight w:val="none"/>
              </w:rPr>
            </w:pPr>
            <w:r>
              <w:rPr>
                <w:highlight w:val="none"/>
              </w:rPr>
              <w:t>8</w:t>
            </w:r>
          </w:p>
        </w:tc>
        <w:tc>
          <w:tcPr>
            <w:tcW w:w="1250" w:type="dxa"/>
            <w:tcBorders>
              <w:top w:val="single" w:color="000000" w:sz="4" w:space="0"/>
              <w:left w:val="single" w:color="000000" w:sz="4" w:space="0"/>
              <w:bottom w:val="single" w:color="000000" w:sz="4" w:space="0"/>
              <w:right w:val="single" w:color="000000" w:sz="4" w:space="0"/>
            </w:tcBorders>
          </w:tcPr>
          <w:p>
            <w:pPr>
              <w:spacing w:after="0" w:line="240" w:lineRule="auto"/>
              <w:ind w:left="0" w:right="2" w:firstLine="0"/>
              <w:jc w:val="center"/>
              <w:rPr>
                <w:highlight w:val="none"/>
              </w:rPr>
            </w:pPr>
            <w:r>
              <w:rPr>
                <w:highlight w:val="none"/>
              </w:rPr>
              <w:t>6</w:t>
            </w:r>
          </w:p>
        </w:tc>
        <w:tc>
          <w:tcPr>
            <w:tcW w:w="1147" w:type="dxa"/>
            <w:tcBorders>
              <w:top w:val="single" w:color="000000" w:sz="4" w:space="0"/>
              <w:left w:val="single" w:color="000000" w:sz="4" w:space="0"/>
              <w:bottom w:val="single" w:color="000000" w:sz="4" w:space="0"/>
              <w:right w:val="single" w:color="000000" w:sz="4" w:space="0"/>
            </w:tcBorders>
          </w:tcPr>
          <w:p>
            <w:pPr>
              <w:spacing w:after="0" w:line="240" w:lineRule="auto"/>
              <w:ind w:left="0" w:right="4" w:firstLine="0"/>
              <w:jc w:val="center"/>
              <w:rPr>
                <w:highlight w:val="none"/>
              </w:rPr>
            </w:pPr>
            <w:r>
              <w:rPr>
                <w:highlight w:val="none"/>
              </w:rPr>
              <w:t>4</w:t>
            </w:r>
          </w:p>
        </w:tc>
      </w:tr>
      <w:tr>
        <w:tblPrEx>
          <w:tblCellMar>
            <w:top w:w="149" w:type="dxa"/>
            <w:left w:w="124" w:type="dxa"/>
            <w:bottom w:w="0" w:type="dxa"/>
            <w:right w:w="116" w:type="dxa"/>
          </w:tblCellMar>
        </w:tblPrEx>
        <w:trPr>
          <w:trHeight w:val="421" w:hRule="atLeast"/>
          <w:jc w:val="center"/>
        </w:trPr>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right="0" w:firstLine="0"/>
              <w:jc w:val="center"/>
              <w:rPr>
                <w:highlight w:val="none"/>
              </w:rPr>
            </w:pPr>
            <w:r>
              <w:rPr>
                <w:highlight w:val="none"/>
              </w:rPr>
              <w:t>集体荣誉称号</w:t>
            </w:r>
          </w:p>
        </w:tc>
        <w:tc>
          <w:tcPr>
            <w:tcW w:w="1480" w:type="dxa"/>
            <w:tcBorders>
              <w:top w:val="single" w:color="000000" w:sz="4" w:space="0"/>
              <w:left w:val="single" w:color="000000" w:sz="4" w:space="0"/>
              <w:bottom w:val="single" w:color="000000" w:sz="4" w:space="0"/>
              <w:right w:val="single" w:color="000000" w:sz="4" w:space="0"/>
            </w:tcBorders>
          </w:tcPr>
          <w:p>
            <w:pPr>
              <w:spacing w:after="0" w:line="240" w:lineRule="auto"/>
              <w:ind w:left="62" w:right="0" w:firstLine="0"/>
              <w:jc w:val="both"/>
              <w:rPr>
                <w:highlight w:val="none"/>
              </w:rPr>
            </w:pPr>
            <w:r>
              <w:rPr>
                <w:highlight w:val="none"/>
              </w:rPr>
              <w:t>主要负责人</w:t>
            </w:r>
          </w:p>
        </w:tc>
        <w:tc>
          <w:tcPr>
            <w:tcW w:w="1140" w:type="dxa"/>
            <w:tcBorders>
              <w:top w:val="single" w:color="000000" w:sz="4" w:space="0"/>
              <w:left w:val="single" w:color="000000" w:sz="4" w:space="0"/>
              <w:bottom w:val="single" w:color="000000" w:sz="4" w:space="0"/>
              <w:right w:val="single" w:color="000000" w:sz="4" w:space="0"/>
            </w:tcBorders>
          </w:tcPr>
          <w:p>
            <w:pPr>
              <w:spacing w:after="0" w:line="240" w:lineRule="auto"/>
              <w:ind w:left="0" w:right="0" w:firstLine="0"/>
              <w:jc w:val="center"/>
              <w:rPr>
                <w:highlight w:val="none"/>
              </w:rPr>
            </w:pPr>
            <w:r>
              <w:rPr>
                <w:highlight w:val="none"/>
              </w:rPr>
              <w:t>10</w:t>
            </w:r>
          </w:p>
        </w:tc>
        <w:tc>
          <w:tcPr>
            <w:tcW w:w="1462" w:type="dxa"/>
            <w:tcBorders>
              <w:top w:val="single" w:color="000000" w:sz="4" w:space="0"/>
              <w:left w:val="single" w:color="000000" w:sz="4" w:space="0"/>
              <w:bottom w:val="single" w:color="000000" w:sz="4" w:space="0"/>
              <w:right w:val="single" w:color="000000" w:sz="4" w:space="0"/>
            </w:tcBorders>
          </w:tcPr>
          <w:p>
            <w:pPr>
              <w:spacing w:after="0" w:line="240" w:lineRule="auto"/>
              <w:ind w:left="0" w:right="2" w:firstLine="0"/>
              <w:jc w:val="center"/>
              <w:rPr>
                <w:highlight w:val="none"/>
              </w:rPr>
            </w:pPr>
            <w:r>
              <w:rPr>
                <w:highlight w:val="none"/>
              </w:rPr>
              <w:t>8</w:t>
            </w:r>
          </w:p>
        </w:tc>
        <w:tc>
          <w:tcPr>
            <w:tcW w:w="1250" w:type="dxa"/>
            <w:tcBorders>
              <w:top w:val="single" w:color="000000" w:sz="4" w:space="0"/>
              <w:left w:val="single" w:color="000000" w:sz="4" w:space="0"/>
              <w:bottom w:val="single" w:color="000000" w:sz="4" w:space="0"/>
              <w:right w:val="single" w:color="000000" w:sz="4" w:space="0"/>
            </w:tcBorders>
          </w:tcPr>
          <w:p>
            <w:pPr>
              <w:spacing w:after="0" w:line="240" w:lineRule="auto"/>
              <w:ind w:left="0" w:right="2" w:firstLine="0"/>
              <w:jc w:val="center"/>
              <w:rPr>
                <w:highlight w:val="none"/>
              </w:rPr>
            </w:pPr>
            <w:r>
              <w:rPr>
                <w:highlight w:val="none"/>
              </w:rPr>
              <w:t>6</w:t>
            </w:r>
          </w:p>
        </w:tc>
        <w:tc>
          <w:tcPr>
            <w:tcW w:w="1147" w:type="dxa"/>
            <w:tcBorders>
              <w:top w:val="single" w:color="000000" w:sz="4" w:space="0"/>
              <w:left w:val="single" w:color="000000" w:sz="4" w:space="0"/>
              <w:bottom w:val="single" w:color="000000" w:sz="4" w:space="0"/>
              <w:right w:val="single" w:color="000000" w:sz="4" w:space="0"/>
            </w:tcBorders>
          </w:tcPr>
          <w:p>
            <w:pPr>
              <w:spacing w:after="0" w:line="240" w:lineRule="auto"/>
              <w:ind w:left="0" w:right="4" w:firstLine="0"/>
              <w:jc w:val="center"/>
              <w:rPr>
                <w:highlight w:val="none"/>
              </w:rPr>
            </w:pPr>
            <w:r>
              <w:rPr>
                <w:highlight w:val="none"/>
              </w:rPr>
              <w:t>4</w:t>
            </w:r>
          </w:p>
        </w:tc>
      </w:tr>
      <w:tr>
        <w:tblPrEx>
          <w:tblCellMar>
            <w:top w:w="149" w:type="dxa"/>
            <w:left w:w="124" w:type="dxa"/>
            <w:bottom w:w="0" w:type="dxa"/>
            <w:right w:w="116" w:type="dxa"/>
          </w:tblCellMar>
        </w:tblPrEx>
        <w:trPr>
          <w:trHeight w:val="383" w:hRule="atLeast"/>
          <w:jc w:val="center"/>
        </w:trPr>
        <w:tc>
          <w:tcPr>
            <w:tcW w:w="1578" w:type="dxa"/>
            <w:vMerge w:val="continue"/>
            <w:tcBorders>
              <w:top w:val="nil"/>
              <w:left w:val="single" w:color="000000" w:sz="4" w:space="0"/>
              <w:bottom w:val="single" w:color="000000" w:sz="4" w:space="0"/>
              <w:right w:val="single" w:color="000000" w:sz="4" w:space="0"/>
            </w:tcBorders>
          </w:tcPr>
          <w:p>
            <w:pPr>
              <w:spacing w:after="160" w:line="240" w:lineRule="auto"/>
              <w:ind w:left="0" w:right="0" w:firstLine="0"/>
              <w:rPr>
                <w:highlight w:val="none"/>
              </w:rPr>
            </w:pPr>
          </w:p>
        </w:tc>
        <w:tc>
          <w:tcPr>
            <w:tcW w:w="1480" w:type="dxa"/>
            <w:tcBorders>
              <w:top w:val="single" w:color="000000" w:sz="4" w:space="0"/>
              <w:left w:val="single" w:color="000000" w:sz="4" w:space="0"/>
              <w:bottom w:val="single" w:color="000000" w:sz="4" w:space="0"/>
              <w:right w:val="single" w:color="000000" w:sz="4" w:space="0"/>
            </w:tcBorders>
          </w:tcPr>
          <w:p>
            <w:pPr>
              <w:spacing w:after="0" w:line="240" w:lineRule="auto"/>
              <w:ind w:left="163" w:right="0" w:firstLine="0"/>
              <w:rPr>
                <w:highlight w:val="none"/>
              </w:rPr>
            </w:pPr>
            <w:r>
              <w:rPr>
                <w:highlight w:val="none"/>
              </w:rPr>
              <w:t>其他成员</w:t>
            </w:r>
          </w:p>
        </w:tc>
        <w:tc>
          <w:tcPr>
            <w:tcW w:w="1140" w:type="dxa"/>
            <w:tcBorders>
              <w:top w:val="single" w:color="000000" w:sz="4" w:space="0"/>
              <w:left w:val="single" w:color="000000" w:sz="4" w:space="0"/>
              <w:bottom w:val="single" w:color="000000" w:sz="4" w:space="0"/>
              <w:right w:val="single" w:color="000000" w:sz="4" w:space="0"/>
            </w:tcBorders>
          </w:tcPr>
          <w:p>
            <w:pPr>
              <w:spacing w:after="0" w:line="240" w:lineRule="auto"/>
              <w:ind w:left="0" w:right="2" w:firstLine="0"/>
              <w:jc w:val="center"/>
              <w:rPr>
                <w:highlight w:val="none"/>
              </w:rPr>
            </w:pPr>
            <w:r>
              <w:rPr>
                <w:highlight w:val="none"/>
              </w:rPr>
              <w:t>5</w:t>
            </w:r>
          </w:p>
        </w:tc>
        <w:tc>
          <w:tcPr>
            <w:tcW w:w="1462" w:type="dxa"/>
            <w:tcBorders>
              <w:top w:val="single" w:color="000000" w:sz="4" w:space="0"/>
              <w:left w:val="single" w:color="000000" w:sz="4" w:space="0"/>
              <w:bottom w:val="single" w:color="000000" w:sz="4" w:space="0"/>
              <w:right w:val="single" w:color="000000" w:sz="4" w:space="0"/>
            </w:tcBorders>
          </w:tcPr>
          <w:p>
            <w:pPr>
              <w:spacing w:after="0" w:line="240" w:lineRule="auto"/>
              <w:ind w:left="0" w:right="2" w:firstLine="0"/>
              <w:jc w:val="center"/>
              <w:rPr>
                <w:highlight w:val="none"/>
              </w:rPr>
            </w:pPr>
            <w:r>
              <w:rPr>
                <w:highlight w:val="none"/>
              </w:rPr>
              <w:t>4</w:t>
            </w:r>
          </w:p>
        </w:tc>
        <w:tc>
          <w:tcPr>
            <w:tcW w:w="1250" w:type="dxa"/>
            <w:tcBorders>
              <w:top w:val="single" w:color="000000" w:sz="4" w:space="0"/>
              <w:left w:val="single" w:color="000000" w:sz="4" w:space="0"/>
              <w:bottom w:val="single" w:color="000000" w:sz="4" w:space="0"/>
              <w:right w:val="single" w:color="000000" w:sz="4" w:space="0"/>
            </w:tcBorders>
          </w:tcPr>
          <w:p>
            <w:pPr>
              <w:spacing w:after="0" w:line="240" w:lineRule="auto"/>
              <w:ind w:left="0" w:right="2" w:firstLine="0"/>
              <w:jc w:val="center"/>
              <w:rPr>
                <w:highlight w:val="none"/>
              </w:rPr>
            </w:pPr>
            <w:r>
              <w:rPr>
                <w:highlight w:val="none"/>
              </w:rPr>
              <w:t>3</w:t>
            </w:r>
          </w:p>
        </w:tc>
        <w:tc>
          <w:tcPr>
            <w:tcW w:w="1147" w:type="dxa"/>
            <w:tcBorders>
              <w:top w:val="single" w:color="000000" w:sz="4" w:space="0"/>
              <w:left w:val="single" w:color="000000" w:sz="4" w:space="0"/>
              <w:bottom w:val="single" w:color="000000" w:sz="4" w:space="0"/>
              <w:right w:val="single" w:color="000000" w:sz="4" w:space="0"/>
            </w:tcBorders>
          </w:tcPr>
          <w:p>
            <w:pPr>
              <w:spacing w:after="0" w:line="240" w:lineRule="auto"/>
              <w:ind w:left="0" w:right="4" w:firstLine="0"/>
              <w:jc w:val="center"/>
              <w:rPr>
                <w:highlight w:val="none"/>
              </w:rPr>
            </w:pPr>
            <w:r>
              <w:rPr>
                <w:highlight w:val="none"/>
              </w:rPr>
              <w:t>2</w:t>
            </w:r>
          </w:p>
        </w:tc>
      </w:tr>
    </w:tbl>
    <w:p>
      <w:pPr>
        <w:spacing w:after="112" w:line="360" w:lineRule="auto"/>
        <w:ind w:left="578" w:right="13"/>
        <w:rPr>
          <w:sz w:val="28"/>
          <w:szCs w:val="28"/>
          <w:highlight w:val="none"/>
        </w:rPr>
      </w:pPr>
      <w:r>
        <w:rPr>
          <w:sz w:val="28"/>
          <w:szCs w:val="28"/>
          <w:highlight w:val="none"/>
        </w:rPr>
        <w:t>赋分说明：</w:t>
      </w:r>
    </w:p>
    <w:p>
      <w:pPr>
        <w:spacing w:after="146" w:line="360" w:lineRule="auto"/>
        <w:ind w:left="139" w:right="132" w:firstLine="420"/>
        <w:rPr>
          <w:sz w:val="28"/>
          <w:szCs w:val="28"/>
          <w:highlight w:val="none"/>
        </w:rPr>
      </w:pPr>
      <w:r>
        <w:rPr>
          <w:sz w:val="28"/>
          <w:szCs w:val="28"/>
          <w:highlight w:val="none"/>
        </w:rPr>
        <w:t>1.个人荣誉称号指在本学年获得的国家省市各级政府部门以及学校评选的优秀学生标兵、 优秀学生、优秀学生干部、优秀团干部、优秀团员等称号（由学校认定）。</w:t>
      </w:r>
    </w:p>
    <w:p>
      <w:pPr>
        <w:spacing w:line="360" w:lineRule="auto"/>
        <w:ind w:left="189" w:leftChars="90" w:right="13" w:firstLine="546" w:firstLineChars="195"/>
        <w:rPr>
          <w:sz w:val="28"/>
          <w:szCs w:val="28"/>
          <w:highlight w:val="none"/>
        </w:rPr>
      </w:pPr>
      <w:r>
        <w:rPr>
          <w:sz w:val="28"/>
          <w:szCs w:val="28"/>
          <w:highlight w:val="none"/>
        </w:rPr>
        <w:t>2.集体荣誉称号指所在班级、团支部、党支部、寝室等被评为各级先进集体，主要负责人指班委会、团支部成员、党支部支委会成员、寝室长等（由学校认定）。</w:t>
      </w:r>
    </w:p>
    <w:p>
      <w:pPr>
        <w:keepNext w:val="0"/>
        <w:keepLines w:val="0"/>
        <w:widowControl/>
        <w:suppressLineNumbers w:val="0"/>
        <w:ind w:left="210" w:leftChars="100" w:firstLine="546" w:firstLineChars="195"/>
        <w:jc w:val="left"/>
        <w:rPr>
          <w:rFonts w:hint="eastAsia"/>
          <w:sz w:val="28"/>
          <w:szCs w:val="28"/>
          <w:highlight w:val="none"/>
          <w:lang w:val="en-US" w:eastAsia="zh-CN"/>
        </w:rPr>
      </w:pPr>
      <w:r>
        <w:rPr>
          <w:rFonts w:hint="eastAsia"/>
          <w:sz w:val="28"/>
          <w:szCs w:val="28"/>
          <w:highlight w:val="none"/>
          <w:lang w:val="en-US" w:eastAsia="zh-CN"/>
        </w:rPr>
        <w:t>3.各二级学院自行授予的荣誉称号不加分。</w:t>
      </w:r>
    </w:p>
    <w:p>
      <w:pPr>
        <w:keepNext w:val="0"/>
        <w:keepLines w:val="0"/>
        <w:widowControl/>
        <w:suppressLineNumbers w:val="0"/>
        <w:ind w:left="210" w:leftChars="100" w:firstLine="546" w:firstLineChars="195"/>
        <w:jc w:val="left"/>
        <w:rPr>
          <w:rFonts w:hint="default"/>
          <w:sz w:val="28"/>
          <w:szCs w:val="28"/>
          <w:highlight w:val="none"/>
          <w:lang w:val="en-US" w:eastAsia="zh-CN"/>
        </w:rPr>
      </w:pPr>
      <w:r>
        <w:rPr>
          <w:rFonts w:hint="eastAsia"/>
          <w:sz w:val="28"/>
          <w:szCs w:val="28"/>
          <w:highlight w:val="none"/>
          <w:lang w:val="en-US" w:eastAsia="zh-CN"/>
        </w:rPr>
        <w:t>4.各学生组织内部和社团内部自评的荣誉称号不加分。</w:t>
      </w:r>
    </w:p>
    <w:p>
      <w:pPr>
        <w:spacing w:line="360" w:lineRule="auto"/>
        <w:ind w:left="139" w:right="13" w:firstLine="420"/>
        <w:rPr>
          <w:rFonts w:hint="default" w:eastAsia="宋体"/>
          <w:highlight w:val="none"/>
          <w:lang w:val="en-US" w:eastAsia="zh-CN"/>
        </w:rPr>
      </w:pPr>
    </w:p>
    <w:p>
      <w:pPr>
        <w:spacing w:line="360" w:lineRule="auto"/>
        <w:ind w:left="139" w:right="13" w:firstLine="420"/>
        <w:rPr>
          <w:rFonts w:hint="default" w:eastAsia="宋体"/>
          <w:highlight w:val="none"/>
          <w:lang w:val="en-US" w:eastAsia="zh-CN"/>
        </w:rPr>
      </w:pPr>
    </w:p>
    <w:p>
      <w:pPr>
        <w:spacing w:line="360" w:lineRule="auto"/>
        <w:ind w:left="139" w:right="13" w:firstLine="420"/>
        <w:rPr>
          <w:rFonts w:hint="default" w:eastAsia="宋体"/>
          <w:highlight w:val="none"/>
          <w:lang w:val="en-US" w:eastAsia="zh-CN"/>
        </w:rPr>
      </w:pPr>
    </w:p>
    <w:p>
      <w:pPr>
        <w:spacing w:after="0" w:line="360" w:lineRule="auto"/>
        <w:ind w:left="190" w:right="79"/>
        <w:jc w:val="center"/>
        <w:rPr>
          <w:b/>
          <w:bCs/>
          <w:highlight w:val="none"/>
        </w:rPr>
      </w:pPr>
      <w:r>
        <w:rPr>
          <w:b/>
          <w:bCs/>
          <w:highlight w:val="none"/>
        </w:rPr>
        <w:t>表2 任职加分标准（单位：分）</w:t>
      </w:r>
    </w:p>
    <w:tbl>
      <w:tblPr>
        <w:tblStyle w:val="10"/>
        <w:tblW w:w="8229" w:type="dxa"/>
        <w:jc w:val="center"/>
        <w:tblLayout w:type="autofit"/>
        <w:tblCellMar>
          <w:top w:w="0" w:type="dxa"/>
          <w:left w:w="113" w:type="dxa"/>
          <w:bottom w:w="50" w:type="dxa"/>
          <w:right w:w="115" w:type="dxa"/>
        </w:tblCellMar>
      </w:tblPr>
      <w:tblGrid>
        <w:gridCol w:w="7374"/>
        <w:gridCol w:w="855"/>
      </w:tblGrid>
      <w:tr>
        <w:tblPrEx>
          <w:tblCellMar>
            <w:top w:w="0" w:type="dxa"/>
            <w:left w:w="113" w:type="dxa"/>
            <w:bottom w:w="50" w:type="dxa"/>
            <w:right w:w="115" w:type="dxa"/>
          </w:tblCellMar>
        </w:tblPrEx>
        <w:trPr>
          <w:trHeight w:val="428"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2" w:right="0" w:firstLine="0"/>
              <w:jc w:val="center"/>
              <w:rPr>
                <w:highlight w:val="none"/>
              </w:rPr>
            </w:pPr>
            <w:r>
              <w:rPr>
                <w:b/>
                <w:bCs/>
                <w:highlight w:val="none"/>
              </w:rPr>
              <w:t>担任职务</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09" w:right="0" w:firstLine="0"/>
              <w:jc w:val="center"/>
              <w:rPr>
                <w:highlight w:val="none"/>
              </w:rPr>
            </w:pPr>
            <w:r>
              <w:rPr>
                <w:b/>
                <w:bCs/>
                <w:highlight w:val="none"/>
              </w:rPr>
              <w:t>加分</w:t>
            </w:r>
          </w:p>
        </w:tc>
      </w:tr>
      <w:tr>
        <w:tblPrEx>
          <w:tblCellMar>
            <w:top w:w="0" w:type="dxa"/>
            <w:left w:w="113" w:type="dxa"/>
            <w:bottom w:w="50" w:type="dxa"/>
            <w:right w:w="115" w:type="dxa"/>
          </w:tblCellMar>
        </w:tblPrEx>
        <w:trPr>
          <w:trHeight w:val="438"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校团委兼职副书记、校学生会主席团执行主席</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6" w:right="0" w:firstLine="0"/>
              <w:jc w:val="center"/>
              <w:rPr>
                <w:highlight w:val="none"/>
              </w:rPr>
            </w:pPr>
            <w:r>
              <w:rPr>
                <w:highlight w:val="none"/>
              </w:rPr>
              <w:t>10</w:t>
            </w:r>
          </w:p>
        </w:tc>
      </w:tr>
      <w:tr>
        <w:tblPrEx>
          <w:tblCellMar>
            <w:top w:w="0" w:type="dxa"/>
            <w:left w:w="113" w:type="dxa"/>
            <w:bottom w:w="50" w:type="dxa"/>
            <w:right w:w="115" w:type="dxa"/>
          </w:tblCellMar>
        </w:tblPrEx>
        <w:trPr>
          <w:trHeight w:val="652"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校学生会主席团成员、校级学生组织正职负责人、院学生会主席团执行主席、院团委副书记</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9" w:right="0" w:firstLine="0"/>
              <w:jc w:val="center"/>
              <w:rPr>
                <w:highlight w:val="none"/>
              </w:rPr>
            </w:pPr>
            <w:r>
              <w:rPr>
                <w:highlight w:val="none"/>
              </w:rPr>
              <w:t>8</w:t>
            </w:r>
          </w:p>
        </w:tc>
      </w:tr>
      <w:tr>
        <w:tblPrEx>
          <w:tblCellMar>
            <w:top w:w="0" w:type="dxa"/>
            <w:left w:w="113" w:type="dxa"/>
            <w:bottom w:w="50" w:type="dxa"/>
            <w:right w:w="115" w:type="dxa"/>
          </w:tblCellMar>
        </w:tblPrEx>
        <w:trPr>
          <w:trHeight w:val="422"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校级学生组织副职负责人、院学生会主席团成员</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9" w:right="0" w:firstLine="0"/>
              <w:jc w:val="center"/>
              <w:rPr>
                <w:highlight w:val="none"/>
              </w:rPr>
            </w:pPr>
            <w:r>
              <w:rPr>
                <w:rFonts w:hint="eastAsia"/>
                <w:highlight w:val="none"/>
              </w:rPr>
              <w:t>6</w:t>
            </w:r>
          </w:p>
        </w:tc>
      </w:tr>
      <w:tr>
        <w:tblPrEx>
          <w:tblCellMar>
            <w:top w:w="0" w:type="dxa"/>
            <w:left w:w="113" w:type="dxa"/>
            <w:bottom w:w="50" w:type="dxa"/>
            <w:right w:w="115" w:type="dxa"/>
          </w:tblCellMar>
        </w:tblPrEx>
        <w:trPr>
          <w:trHeight w:val="447"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校团委专项工作部负责人、校级学生组织各部门正职负责人、社团正职负责人</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9" w:right="0" w:firstLine="0"/>
              <w:jc w:val="center"/>
              <w:rPr>
                <w:highlight w:val="none"/>
              </w:rPr>
            </w:pPr>
            <w:r>
              <w:rPr>
                <w:rFonts w:hint="eastAsia"/>
                <w:highlight w:val="none"/>
              </w:rPr>
              <w:t>5</w:t>
            </w:r>
          </w:p>
        </w:tc>
      </w:tr>
      <w:tr>
        <w:tblPrEx>
          <w:tblCellMar>
            <w:top w:w="0" w:type="dxa"/>
            <w:left w:w="113" w:type="dxa"/>
            <w:bottom w:w="50" w:type="dxa"/>
            <w:right w:w="115" w:type="dxa"/>
          </w:tblCellMar>
        </w:tblPrEx>
        <w:trPr>
          <w:trHeight w:val="633"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校级学生组织各部门副职负责人、院学生会各部门正职负责人、院团委各部门正职负责人、社团副职负责人</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9" w:right="0" w:firstLine="0"/>
              <w:jc w:val="center"/>
              <w:rPr>
                <w:highlight w:val="none"/>
              </w:rPr>
            </w:pPr>
            <w:r>
              <w:rPr>
                <w:highlight w:val="none"/>
              </w:rPr>
              <w:t>4</w:t>
            </w:r>
          </w:p>
        </w:tc>
      </w:tr>
      <w:tr>
        <w:tblPrEx>
          <w:tblCellMar>
            <w:top w:w="0" w:type="dxa"/>
            <w:left w:w="113" w:type="dxa"/>
            <w:bottom w:w="50" w:type="dxa"/>
            <w:right w:w="115" w:type="dxa"/>
          </w:tblCellMar>
        </w:tblPrEx>
        <w:trPr>
          <w:trHeight w:val="388"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班长、团支部书记、学生党支部书记</w:t>
            </w:r>
          </w:p>
        </w:tc>
        <w:tc>
          <w:tcPr>
            <w:tcW w:w="0" w:type="auto"/>
            <w:vMerge w:val="continue"/>
            <w:tcBorders>
              <w:top w:val="nil"/>
              <w:left w:val="single" w:color="000000" w:sz="4" w:space="0"/>
              <w:bottom w:val="single" w:color="000000" w:sz="4" w:space="0"/>
              <w:right w:val="single" w:color="000000" w:sz="4" w:space="0"/>
            </w:tcBorders>
            <w:vAlign w:val="center"/>
          </w:tcPr>
          <w:p>
            <w:pPr>
              <w:spacing w:after="160" w:line="360" w:lineRule="auto"/>
              <w:ind w:left="0" w:right="0" w:firstLine="0"/>
              <w:jc w:val="center"/>
              <w:rPr>
                <w:highlight w:val="none"/>
              </w:rPr>
            </w:pPr>
          </w:p>
        </w:tc>
      </w:tr>
      <w:tr>
        <w:tblPrEx>
          <w:tblCellMar>
            <w:top w:w="0" w:type="dxa"/>
            <w:left w:w="113" w:type="dxa"/>
            <w:bottom w:w="50" w:type="dxa"/>
            <w:right w:w="115" w:type="dxa"/>
          </w:tblCellMar>
        </w:tblPrEx>
        <w:trPr>
          <w:trHeight w:val="410"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院学生会、院团委各部门副职负责人、社团各部门</w:t>
            </w:r>
            <w:r>
              <w:rPr>
                <w:rFonts w:hint="eastAsia"/>
                <w:highlight w:val="none"/>
                <w:lang w:val="en-US" w:eastAsia="zh-CN"/>
              </w:rPr>
              <w:t>正职</w:t>
            </w:r>
            <w:r>
              <w:rPr>
                <w:highlight w:val="none"/>
              </w:rPr>
              <w:t>负责人</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9" w:right="0" w:firstLine="0"/>
              <w:jc w:val="center"/>
              <w:rPr>
                <w:highlight w:val="none"/>
              </w:rPr>
            </w:pPr>
            <w:r>
              <w:rPr>
                <w:highlight w:val="none"/>
              </w:rPr>
              <w:t>3</w:t>
            </w:r>
          </w:p>
        </w:tc>
      </w:tr>
      <w:tr>
        <w:tblPrEx>
          <w:tblCellMar>
            <w:top w:w="0" w:type="dxa"/>
            <w:left w:w="113" w:type="dxa"/>
            <w:bottom w:w="50" w:type="dxa"/>
            <w:right w:w="115" w:type="dxa"/>
          </w:tblCellMar>
        </w:tblPrEx>
        <w:trPr>
          <w:trHeight w:val="406"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rFonts w:hint="default" w:eastAsia="宋体"/>
                <w:highlight w:val="none"/>
                <w:lang w:val="en-US" w:eastAsia="zh-CN"/>
              </w:rPr>
            </w:pPr>
            <w:r>
              <w:rPr>
                <w:highlight w:val="none"/>
              </w:rPr>
              <w:t>校级学生组织各部门、院学生会、院团委各部门部员、</w:t>
            </w:r>
            <w:r>
              <w:rPr>
                <w:rFonts w:hint="eastAsia"/>
                <w:highlight w:val="none"/>
                <w:lang w:val="en-US" w:eastAsia="zh-CN"/>
              </w:rPr>
              <w:t>社团各部门副职负责人</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9" w:right="0" w:firstLine="0"/>
              <w:jc w:val="center"/>
              <w:rPr>
                <w:highlight w:val="none"/>
              </w:rPr>
            </w:pPr>
            <w:r>
              <w:rPr>
                <w:highlight w:val="none"/>
              </w:rPr>
              <w:t>2</w:t>
            </w:r>
          </w:p>
        </w:tc>
      </w:tr>
      <w:tr>
        <w:tblPrEx>
          <w:tblCellMar>
            <w:top w:w="0" w:type="dxa"/>
            <w:left w:w="113" w:type="dxa"/>
            <w:bottom w:w="50" w:type="dxa"/>
            <w:right w:w="115" w:type="dxa"/>
          </w:tblCellMar>
        </w:tblPrEx>
        <w:trPr>
          <w:trHeight w:val="445"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班委会、团支部、党支部其他成员</w:t>
            </w:r>
          </w:p>
        </w:tc>
        <w:tc>
          <w:tcPr>
            <w:tcW w:w="855" w:type="dxa"/>
            <w:vMerge w:val="continue"/>
            <w:tcBorders>
              <w:top w:val="nil"/>
              <w:left w:val="single" w:color="000000" w:sz="4" w:space="0"/>
              <w:bottom w:val="nil"/>
              <w:right w:val="single" w:color="000000" w:sz="4" w:space="0"/>
            </w:tcBorders>
            <w:vAlign w:val="center"/>
          </w:tcPr>
          <w:p>
            <w:pPr>
              <w:spacing w:after="160" w:line="360" w:lineRule="auto"/>
              <w:ind w:left="0" w:right="0" w:firstLine="0"/>
              <w:jc w:val="center"/>
              <w:rPr>
                <w:highlight w:val="none"/>
              </w:rPr>
            </w:pPr>
          </w:p>
        </w:tc>
      </w:tr>
      <w:tr>
        <w:tblPrEx>
          <w:tblCellMar>
            <w:top w:w="0" w:type="dxa"/>
            <w:left w:w="113" w:type="dxa"/>
            <w:bottom w:w="50" w:type="dxa"/>
            <w:right w:w="115" w:type="dxa"/>
          </w:tblCellMar>
        </w:tblPrEx>
        <w:trPr>
          <w:trHeight w:val="462"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生活区楼长、层长、寝室长</w:t>
            </w:r>
          </w:p>
        </w:tc>
        <w:tc>
          <w:tcPr>
            <w:tcW w:w="855" w:type="dxa"/>
            <w:vMerge w:val="continue"/>
            <w:tcBorders>
              <w:top w:val="nil"/>
              <w:left w:val="single" w:color="000000" w:sz="4" w:space="0"/>
              <w:bottom w:val="single" w:color="000000" w:sz="4" w:space="0"/>
              <w:right w:val="single" w:color="000000" w:sz="4" w:space="0"/>
            </w:tcBorders>
            <w:vAlign w:val="center"/>
          </w:tcPr>
          <w:p>
            <w:pPr>
              <w:spacing w:after="160" w:line="360" w:lineRule="auto"/>
              <w:ind w:left="0" w:right="0" w:firstLine="0"/>
              <w:jc w:val="center"/>
              <w:rPr>
                <w:highlight w:val="none"/>
              </w:rPr>
            </w:pPr>
          </w:p>
        </w:tc>
      </w:tr>
      <w:tr>
        <w:tblPrEx>
          <w:tblCellMar>
            <w:top w:w="0" w:type="dxa"/>
            <w:left w:w="113" w:type="dxa"/>
            <w:bottom w:w="50" w:type="dxa"/>
            <w:right w:w="115" w:type="dxa"/>
          </w:tblCellMar>
        </w:tblPrEx>
        <w:trPr>
          <w:trHeight w:val="410" w:hRule="atLeast"/>
          <w:jc w:val="center"/>
        </w:trPr>
        <w:tc>
          <w:tcPr>
            <w:tcW w:w="737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left"/>
              <w:rPr>
                <w:highlight w:val="none"/>
              </w:rPr>
            </w:pPr>
            <w:r>
              <w:rPr>
                <w:highlight w:val="none"/>
              </w:rPr>
              <w:t>社团各部门部员</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1" w:right="0" w:firstLine="0"/>
              <w:jc w:val="center"/>
              <w:rPr>
                <w:highlight w:val="none"/>
              </w:rPr>
            </w:pPr>
            <w:r>
              <w:rPr>
                <w:highlight w:val="none"/>
              </w:rPr>
              <w:t>1</w:t>
            </w:r>
          </w:p>
        </w:tc>
      </w:tr>
    </w:tbl>
    <w:p>
      <w:pPr>
        <w:spacing w:after="109" w:line="360" w:lineRule="auto"/>
        <w:ind w:left="0" w:leftChars="0" w:right="13" w:firstLine="0" w:firstLineChars="0"/>
        <w:rPr>
          <w:highlight w:val="none"/>
        </w:rPr>
      </w:pPr>
    </w:p>
    <w:p>
      <w:pPr>
        <w:spacing w:after="109" w:line="360" w:lineRule="auto"/>
        <w:ind w:left="0" w:leftChars="0" w:right="13" w:firstLine="0" w:firstLineChars="0"/>
        <w:rPr>
          <w:sz w:val="28"/>
          <w:szCs w:val="32"/>
          <w:highlight w:val="none"/>
        </w:rPr>
      </w:pPr>
      <w:r>
        <w:rPr>
          <w:sz w:val="28"/>
          <w:szCs w:val="32"/>
          <w:highlight w:val="none"/>
        </w:rPr>
        <w:t>赋分说明：</w:t>
      </w:r>
    </w:p>
    <w:p>
      <w:pPr>
        <w:keepNext w:val="0"/>
        <w:keepLines w:val="0"/>
        <w:widowControl/>
        <w:suppressLineNumbers w:val="0"/>
        <w:ind w:left="210" w:leftChars="100" w:firstLine="546" w:firstLineChars="195"/>
        <w:jc w:val="left"/>
        <w:rPr>
          <w:sz w:val="28"/>
          <w:szCs w:val="32"/>
          <w:highlight w:val="none"/>
        </w:rPr>
      </w:pPr>
      <w:r>
        <w:rPr>
          <w:sz w:val="28"/>
          <w:szCs w:val="32"/>
          <w:highlight w:val="none"/>
        </w:rPr>
        <w:t>1.担任学生干部或从事公益性、服务性工作原则上满一年且能履行职责者，按上述标准加分。</w:t>
      </w:r>
      <w:r>
        <w:rPr>
          <w:rFonts w:hint="eastAsia"/>
          <w:sz w:val="28"/>
          <w:szCs w:val="32"/>
          <w:highlight w:val="none"/>
          <w:lang w:val="en-US" w:eastAsia="zh-CN"/>
        </w:rPr>
        <w:t>学生担任多个职务的按最高任职项加分，不可累加或减半加分。</w:t>
      </w:r>
    </w:p>
    <w:p>
      <w:pPr>
        <w:spacing w:after="124" w:line="360" w:lineRule="auto"/>
        <w:ind w:left="210" w:leftChars="100" w:right="13" w:firstLine="546" w:firstLineChars="195"/>
        <w:jc w:val="both"/>
        <w:rPr>
          <w:sz w:val="28"/>
          <w:szCs w:val="32"/>
          <w:highlight w:val="none"/>
        </w:rPr>
      </w:pPr>
      <w:r>
        <w:rPr>
          <w:sz w:val="28"/>
          <w:szCs w:val="32"/>
          <w:highlight w:val="none"/>
        </w:rPr>
        <w:t>2.校级学生组织包括校学生会、校团委专项工作部、校易班工作站、校大学生自管会、校大学生勤工助学中心、校大学生心理协会、校国旗护卫队、</w:t>
      </w:r>
      <w:r>
        <w:rPr>
          <w:rFonts w:hint="eastAsia"/>
          <w:sz w:val="28"/>
          <w:szCs w:val="32"/>
          <w:highlight w:val="none"/>
          <w:lang w:val="en-US" w:eastAsia="zh-CN"/>
        </w:rPr>
        <w:t>新闻中心、</w:t>
      </w:r>
      <w:r>
        <w:rPr>
          <w:sz w:val="28"/>
          <w:szCs w:val="32"/>
          <w:highlight w:val="none"/>
        </w:rPr>
        <w:t>本科教学质量监控学生管委会。</w:t>
      </w:r>
    </w:p>
    <w:p>
      <w:pPr>
        <w:spacing w:after="124" w:line="360" w:lineRule="auto"/>
        <w:ind w:left="210" w:leftChars="100" w:right="13" w:firstLine="546" w:firstLineChars="195"/>
        <w:jc w:val="both"/>
        <w:rPr>
          <w:rFonts w:hint="eastAsia"/>
          <w:sz w:val="28"/>
          <w:szCs w:val="32"/>
          <w:highlight w:val="none"/>
          <w:lang w:val="en-US" w:eastAsia="zh-CN"/>
        </w:rPr>
      </w:pPr>
      <w:r>
        <w:rPr>
          <w:sz w:val="28"/>
          <w:szCs w:val="32"/>
          <w:highlight w:val="none"/>
        </w:rPr>
        <w:t>3.校院学生干部任职以校团委、学生处</w:t>
      </w:r>
      <w:r>
        <w:rPr>
          <w:rFonts w:hint="eastAsia"/>
          <w:sz w:val="28"/>
          <w:szCs w:val="32"/>
          <w:highlight w:val="none"/>
          <w:lang w:eastAsia="zh-CN"/>
        </w:rPr>
        <w:t>，</w:t>
      </w:r>
      <w:r>
        <w:rPr>
          <w:rFonts w:hint="eastAsia"/>
          <w:color w:val="000000" w:themeColor="text1"/>
          <w:sz w:val="28"/>
          <w:szCs w:val="32"/>
          <w:highlight w:val="none"/>
          <w:lang w:val="en-US" w:eastAsia="zh-CN"/>
          <w14:textFill>
            <w14:solidFill>
              <w14:schemeClr w14:val="tx1"/>
            </w14:solidFill>
          </w14:textFill>
        </w:rPr>
        <w:t>教务处，宣传部</w:t>
      </w:r>
      <w:r>
        <w:rPr>
          <w:sz w:val="28"/>
          <w:szCs w:val="32"/>
          <w:highlight w:val="none"/>
        </w:rPr>
        <w:t>文件为依据予以加分，</w:t>
      </w:r>
      <w:r>
        <w:rPr>
          <w:rFonts w:hint="eastAsia"/>
          <w:sz w:val="28"/>
          <w:szCs w:val="32"/>
          <w:highlight w:val="none"/>
          <w:lang w:val="en-US" w:eastAsia="zh-CN"/>
        </w:rPr>
        <w:t>校院学生</w:t>
      </w:r>
      <w:r>
        <w:rPr>
          <w:sz w:val="28"/>
          <w:szCs w:val="32"/>
          <w:highlight w:val="none"/>
        </w:rPr>
        <w:t>干部任职</w:t>
      </w:r>
      <w:r>
        <w:rPr>
          <w:rFonts w:hint="eastAsia"/>
          <w:sz w:val="28"/>
          <w:szCs w:val="32"/>
          <w:highlight w:val="none"/>
          <w:lang w:val="en-US" w:eastAsia="zh-CN"/>
        </w:rPr>
        <w:t>及校级以上任职须在出示相关证明后经学院本科学生综合素质测评工作领导小组研讨后按相应级别进行加分。</w:t>
      </w:r>
    </w:p>
    <w:p>
      <w:pPr>
        <w:spacing w:after="124" w:line="360" w:lineRule="auto"/>
        <w:ind w:left="210" w:leftChars="100" w:right="13" w:firstLine="546" w:firstLineChars="195"/>
        <w:jc w:val="both"/>
        <w:rPr>
          <w:sz w:val="28"/>
          <w:szCs w:val="32"/>
          <w:highlight w:val="none"/>
        </w:rPr>
      </w:pPr>
      <w:r>
        <w:rPr>
          <w:sz w:val="28"/>
          <w:szCs w:val="32"/>
          <w:highlight w:val="none"/>
        </w:rPr>
        <w:t>4.若所获得的荣誉称号在德育加分细则里没有明确规定，则需要出示公示文件或表彰文件的佐证材料并经学院本科学生综合素质测评工作领导小组研讨后按相应级别进行加分。</w:t>
      </w:r>
    </w:p>
    <w:p>
      <w:pPr>
        <w:spacing w:after="449" w:line="240" w:lineRule="auto"/>
        <w:ind w:left="210" w:leftChars="100" w:right="13" w:firstLine="409" w:firstLineChars="195"/>
        <w:jc w:val="both"/>
        <w:rPr>
          <w:highlight w:val="yellow"/>
        </w:rPr>
      </w:pPr>
    </w:p>
    <w:p>
      <w:pPr>
        <w:spacing w:after="449" w:line="240" w:lineRule="auto"/>
        <w:ind w:left="210" w:leftChars="100" w:right="13" w:firstLine="409" w:firstLineChars="195"/>
        <w:jc w:val="both"/>
        <w:rPr>
          <w:highlight w:val="yellow"/>
        </w:rPr>
      </w:pPr>
    </w:p>
    <w:p>
      <w:pPr>
        <w:spacing w:after="0" w:line="240" w:lineRule="auto"/>
        <w:ind w:left="190" w:right="266"/>
        <w:jc w:val="center"/>
        <w:rPr>
          <w:b/>
          <w:bCs/>
          <w:highlight w:val="none"/>
        </w:rPr>
      </w:pPr>
      <w:r>
        <w:rPr>
          <w:b/>
          <w:bCs/>
          <w:highlight w:val="none"/>
        </w:rPr>
        <w:t>表 3 其他情况加分标准（单位：分）</w:t>
      </w:r>
    </w:p>
    <w:tbl>
      <w:tblPr>
        <w:tblStyle w:val="10"/>
        <w:tblW w:w="8229" w:type="dxa"/>
        <w:jc w:val="center"/>
        <w:tblLayout w:type="autofit"/>
        <w:tblCellMar>
          <w:top w:w="145" w:type="dxa"/>
          <w:left w:w="322" w:type="dxa"/>
          <w:bottom w:w="0" w:type="dxa"/>
          <w:right w:w="115" w:type="dxa"/>
        </w:tblCellMar>
      </w:tblPr>
      <w:tblGrid>
        <w:gridCol w:w="7063"/>
        <w:gridCol w:w="1166"/>
      </w:tblGrid>
      <w:tr>
        <w:tblPrEx>
          <w:tblCellMar>
            <w:top w:w="145" w:type="dxa"/>
            <w:left w:w="322" w:type="dxa"/>
            <w:bottom w:w="0" w:type="dxa"/>
            <w:right w:w="115" w:type="dxa"/>
          </w:tblCellMar>
        </w:tblPrEx>
        <w:trPr>
          <w:trHeight w:val="383" w:hRule="atLeast"/>
          <w:jc w:val="center"/>
        </w:trPr>
        <w:tc>
          <w:tcPr>
            <w:tcW w:w="7063" w:type="dxa"/>
            <w:tcBorders>
              <w:top w:val="single" w:color="000000" w:sz="4" w:space="0"/>
              <w:left w:val="single" w:color="000000" w:sz="4" w:space="0"/>
              <w:bottom w:val="single" w:color="000000" w:sz="4" w:space="0"/>
              <w:right w:val="single" w:color="000000" w:sz="4" w:space="0"/>
            </w:tcBorders>
          </w:tcPr>
          <w:p>
            <w:pPr>
              <w:spacing w:after="0" w:line="360" w:lineRule="auto"/>
              <w:ind w:left="231" w:right="0" w:firstLine="0"/>
              <w:jc w:val="center"/>
              <w:rPr>
                <w:highlight w:val="none"/>
              </w:rPr>
            </w:pPr>
            <w:r>
              <w:rPr>
                <w:b/>
                <w:bCs/>
                <w:highlight w:val="none"/>
              </w:rPr>
              <w:t>其他情况</w:t>
            </w:r>
          </w:p>
        </w:tc>
        <w:tc>
          <w:tcPr>
            <w:tcW w:w="1166" w:type="dxa"/>
            <w:tcBorders>
              <w:top w:val="single" w:color="000000" w:sz="4" w:space="0"/>
              <w:left w:val="single" w:color="000000" w:sz="4" w:space="0"/>
              <w:bottom w:val="single" w:color="000000" w:sz="4" w:space="0"/>
              <w:right w:val="single" w:color="000000" w:sz="4" w:space="0"/>
            </w:tcBorders>
          </w:tcPr>
          <w:p>
            <w:pPr>
              <w:spacing w:after="0" w:line="360" w:lineRule="auto"/>
              <w:ind w:left="55" w:right="0" w:firstLine="0"/>
              <w:rPr>
                <w:highlight w:val="none"/>
              </w:rPr>
            </w:pPr>
            <w:r>
              <w:rPr>
                <w:b/>
                <w:bCs/>
                <w:highlight w:val="none"/>
              </w:rPr>
              <w:t>加分</w:t>
            </w:r>
          </w:p>
        </w:tc>
      </w:tr>
      <w:tr>
        <w:trPr>
          <w:trHeight w:val="415" w:hRule="atLeast"/>
          <w:jc w:val="center"/>
        </w:trPr>
        <w:tc>
          <w:tcPr>
            <w:tcW w:w="7063"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突出事迹者</w:t>
            </w:r>
          </w:p>
        </w:tc>
        <w:tc>
          <w:tcPr>
            <w:tcW w:w="116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97" w:firstLine="0"/>
              <w:jc w:val="center"/>
              <w:rPr>
                <w:highlight w:val="none"/>
              </w:rPr>
            </w:pPr>
            <w:r>
              <w:rPr>
                <w:highlight w:val="none"/>
              </w:rPr>
              <w:t>1-6</w:t>
            </w:r>
          </w:p>
        </w:tc>
      </w:tr>
      <w:tr>
        <w:tblPrEx>
          <w:tblCellMar>
            <w:top w:w="145" w:type="dxa"/>
            <w:left w:w="322" w:type="dxa"/>
            <w:bottom w:w="0" w:type="dxa"/>
            <w:right w:w="115" w:type="dxa"/>
          </w:tblCellMar>
        </w:tblPrEx>
        <w:trPr>
          <w:trHeight w:val="425" w:hRule="atLeast"/>
          <w:jc w:val="center"/>
        </w:trPr>
        <w:tc>
          <w:tcPr>
            <w:tcW w:w="7063"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突出贡献者</w:t>
            </w:r>
          </w:p>
        </w:tc>
        <w:tc>
          <w:tcPr>
            <w:tcW w:w="116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99" w:firstLine="0"/>
              <w:jc w:val="center"/>
              <w:rPr>
                <w:highlight w:val="none"/>
              </w:rPr>
            </w:pPr>
            <w:r>
              <w:rPr>
                <w:highlight w:val="none"/>
              </w:rPr>
              <w:t>1</w:t>
            </w:r>
          </w:p>
        </w:tc>
      </w:tr>
      <w:tr>
        <w:tblPrEx>
          <w:tblCellMar>
            <w:top w:w="145" w:type="dxa"/>
            <w:left w:w="322" w:type="dxa"/>
            <w:bottom w:w="0" w:type="dxa"/>
            <w:right w:w="115" w:type="dxa"/>
          </w:tblCellMar>
        </w:tblPrEx>
        <w:trPr>
          <w:trHeight w:val="405" w:hRule="atLeast"/>
          <w:jc w:val="center"/>
        </w:trPr>
        <w:tc>
          <w:tcPr>
            <w:tcW w:w="7063"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承担新生助理辅导员和军训助教团工作</w:t>
            </w:r>
          </w:p>
        </w:tc>
        <w:tc>
          <w:tcPr>
            <w:tcW w:w="116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99" w:firstLine="0"/>
              <w:jc w:val="center"/>
              <w:rPr>
                <w:highlight w:val="none"/>
              </w:rPr>
            </w:pPr>
            <w:r>
              <w:rPr>
                <w:highlight w:val="none"/>
              </w:rPr>
              <w:t>1</w:t>
            </w:r>
          </w:p>
        </w:tc>
      </w:tr>
      <w:tr>
        <w:tblPrEx>
          <w:tblCellMar>
            <w:top w:w="145" w:type="dxa"/>
            <w:left w:w="322" w:type="dxa"/>
            <w:bottom w:w="0" w:type="dxa"/>
            <w:right w:w="115" w:type="dxa"/>
          </w:tblCellMar>
        </w:tblPrEx>
        <w:trPr>
          <w:trHeight w:val="405" w:hRule="atLeast"/>
          <w:jc w:val="center"/>
        </w:trPr>
        <w:tc>
          <w:tcPr>
            <w:tcW w:w="7063"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参加义务劳动、志愿服务活动、社会实践活动、公益活动及观摩活动等</w:t>
            </w:r>
          </w:p>
        </w:tc>
        <w:tc>
          <w:tcPr>
            <w:tcW w:w="116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97" w:firstLine="0"/>
              <w:jc w:val="center"/>
              <w:rPr>
                <w:highlight w:val="none"/>
              </w:rPr>
            </w:pPr>
            <w:r>
              <w:rPr>
                <w:highlight w:val="none"/>
              </w:rPr>
              <w:t>0.5</w:t>
            </w:r>
          </w:p>
        </w:tc>
      </w:tr>
    </w:tbl>
    <w:p>
      <w:pPr>
        <w:spacing w:after="107" w:line="360" w:lineRule="auto"/>
        <w:ind w:right="13"/>
        <w:rPr>
          <w:highlight w:val="none"/>
        </w:rPr>
      </w:pPr>
    </w:p>
    <w:p>
      <w:pPr>
        <w:spacing w:after="107" w:line="360" w:lineRule="auto"/>
        <w:ind w:right="13"/>
        <w:rPr>
          <w:sz w:val="28"/>
          <w:szCs w:val="28"/>
          <w:highlight w:val="none"/>
        </w:rPr>
      </w:pPr>
      <w:r>
        <w:rPr>
          <w:sz w:val="28"/>
          <w:szCs w:val="28"/>
          <w:highlight w:val="none"/>
        </w:rPr>
        <w:t>备注说明：</w:t>
      </w:r>
    </w:p>
    <w:p>
      <w:pPr>
        <w:spacing w:after="121" w:line="360" w:lineRule="auto"/>
        <w:ind w:left="210" w:leftChars="100" w:right="13" w:firstLine="546" w:firstLineChars="195"/>
        <w:rPr>
          <w:sz w:val="28"/>
          <w:szCs w:val="28"/>
          <w:highlight w:val="none"/>
        </w:rPr>
      </w:pPr>
      <w:r>
        <w:rPr>
          <w:sz w:val="28"/>
          <w:szCs w:val="28"/>
          <w:highlight w:val="none"/>
        </w:rPr>
        <w:t>1.突出事迹指在见义勇为、抢险救灾、抢救伤残、拾金不昧、疫情防控等方面有突出事迹，受到国家省市以及校院表彰和通报表扬的，分别加 6 分、4 分、2 分、1 分。同一事迹只取最高级别加分，不累计加分。</w:t>
      </w:r>
    </w:p>
    <w:p>
      <w:pPr>
        <w:spacing w:line="360" w:lineRule="auto"/>
        <w:ind w:left="210" w:leftChars="100" w:right="13" w:firstLine="546" w:firstLineChars="195"/>
        <w:rPr>
          <w:sz w:val="28"/>
          <w:szCs w:val="28"/>
          <w:highlight w:val="none"/>
        </w:rPr>
      </w:pPr>
      <w:r>
        <w:rPr>
          <w:sz w:val="28"/>
          <w:szCs w:val="28"/>
          <w:highlight w:val="none"/>
        </w:rPr>
        <w:t>2.突出贡献者指没有担任学生干部职务，但能够积极参与学生工作，并为校、院、班集体做出较大贡献者，由学院本科学生综合素质测评工作领导小组认定。</w:t>
      </w:r>
    </w:p>
    <w:p>
      <w:pPr>
        <w:spacing w:after="114" w:line="360" w:lineRule="auto"/>
        <w:ind w:left="210" w:leftChars="100" w:right="13" w:firstLine="546" w:firstLineChars="195"/>
        <w:rPr>
          <w:rFonts w:hint="eastAsia"/>
          <w:sz w:val="28"/>
          <w:szCs w:val="28"/>
          <w:highlight w:val="none"/>
          <w:lang w:eastAsia="zh-CN"/>
        </w:rPr>
      </w:pPr>
      <w:r>
        <w:rPr>
          <w:sz w:val="28"/>
          <w:szCs w:val="28"/>
          <w:highlight w:val="none"/>
        </w:rPr>
        <w:t xml:space="preserve">3.积极参加校院组织的义务劳动、志愿服务活动、社会实践活动、公益活动以及校院安排的其他观摩活动，并较好的完成任务的，每人次加 0.5 分，每学年累计加分不超过 </w:t>
      </w:r>
      <w:r>
        <w:rPr>
          <w:rFonts w:hint="eastAsia"/>
          <w:sz w:val="28"/>
          <w:szCs w:val="28"/>
          <w:highlight w:val="none"/>
          <w:lang w:val="en-US" w:eastAsia="zh-CN"/>
        </w:rPr>
        <w:t>10</w:t>
      </w:r>
      <w:r>
        <w:rPr>
          <w:sz w:val="28"/>
          <w:szCs w:val="28"/>
          <w:highlight w:val="none"/>
        </w:rPr>
        <w:t>分</w:t>
      </w:r>
      <w:r>
        <w:rPr>
          <w:rFonts w:hint="eastAsia"/>
          <w:sz w:val="28"/>
          <w:szCs w:val="28"/>
          <w:highlight w:val="none"/>
          <w:lang w:eastAsia="zh-CN"/>
        </w:rPr>
        <w:t>。</w:t>
      </w:r>
    </w:p>
    <w:p>
      <w:pPr>
        <w:spacing w:after="114" w:line="360" w:lineRule="auto"/>
        <w:ind w:left="210" w:leftChars="100" w:right="13" w:firstLine="409" w:firstLineChars="195"/>
        <w:rPr>
          <w:rFonts w:hint="eastAsia"/>
          <w:highlight w:val="none"/>
          <w:lang w:eastAsia="zh-CN"/>
        </w:rPr>
      </w:pPr>
    </w:p>
    <w:p>
      <w:pPr>
        <w:spacing w:after="114" w:line="240" w:lineRule="auto"/>
        <w:ind w:left="578" w:right="13"/>
        <w:rPr>
          <w:b/>
          <w:bCs/>
          <w:sz w:val="28"/>
          <w:szCs w:val="28"/>
          <w:highlight w:val="none"/>
        </w:rPr>
      </w:pPr>
      <w:r>
        <w:rPr>
          <w:b/>
          <w:bCs/>
          <w:sz w:val="28"/>
          <w:szCs w:val="28"/>
          <w:highlight w:val="none"/>
        </w:rPr>
        <w:t>（三）德育测评扣分</w:t>
      </w:r>
    </w:p>
    <w:p>
      <w:pPr>
        <w:spacing w:after="0" w:line="240" w:lineRule="auto"/>
        <w:ind w:left="190" w:right="0"/>
        <w:jc w:val="center"/>
        <w:rPr>
          <w:b/>
          <w:bCs/>
          <w:highlight w:val="none"/>
        </w:rPr>
      </w:pPr>
      <w:r>
        <w:rPr>
          <w:b/>
          <w:bCs/>
          <w:highlight w:val="none"/>
        </w:rPr>
        <w:t>表 4 德育扣分标准（单位：分）</w:t>
      </w:r>
    </w:p>
    <w:tbl>
      <w:tblPr>
        <w:tblStyle w:val="10"/>
        <w:tblW w:w="8166" w:type="dxa"/>
        <w:jc w:val="center"/>
        <w:tblLayout w:type="autofit"/>
        <w:tblCellMar>
          <w:top w:w="144" w:type="dxa"/>
          <w:left w:w="266" w:type="dxa"/>
          <w:bottom w:w="51" w:type="dxa"/>
          <w:right w:w="115" w:type="dxa"/>
        </w:tblCellMar>
      </w:tblPr>
      <w:tblGrid>
        <w:gridCol w:w="5551"/>
        <w:gridCol w:w="2615"/>
      </w:tblGrid>
      <w:tr>
        <w:tblPrEx>
          <w:tblCellMar>
            <w:top w:w="144" w:type="dxa"/>
            <w:left w:w="266" w:type="dxa"/>
            <w:bottom w:w="51" w:type="dxa"/>
            <w:right w:w="115" w:type="dxa"/>
          </w:tblCellMar>
        </w:tblPrEx>
        <w:trPr>
          <w:trHeight w:val="273"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0" w:right="137" w:firstLine="0"/>
              <w:jc w:val="center"/>
              <w:rPr>
                <w:highlight w:val="none"/>
              </w:rPr>
            </w:pPr>
            <w:r>
              <w:rPr>
                <w:b/>
                <w:bCs/>
                <w:highlight w:val="none"/>
              </w:rPr>
              <w:t>扣分内容</w:t>
            </w:r>
          </w:p>
        </w:tc>
        <w:tc>
          <w:tcPr>
            <w:tcW w:w="2615" w:type="dxa"/>
            <w:tcBorders>
              <w:top w:val="single" w:color="000000" w:sz="4" w:space="0"/>
              <w:left w:val="single" w:color="000000" w:sz="4" w:space="0"/>
              <w:bottom w:val="single" w:color="000000" w:sz="4" w:space="0"/>
              <w:right w:val="single" w:color="000000" w:sz="4" w:space="0"/>
            </w:tcBorders>
          </w:tcPr>
          <w:p>
            <w:pPr>
              <w:spacing w:after="0" w:line="240" w:lineRule="auto"/>
              <w:ind w:left="0" w:right="0" w:firstLine="0"/>
              <w:rPr>
                <w:highlight w:val="none"/>
              </w:rPr>
            </w:pPr>
            <w:r>
              <w:rPr>
                <w:b/>
                <w:bCs/>
                <w:highlight w:val="none"/>
              </w:rPr>
              <w:t>扣分（按每人每次计）</w:t>
            </w:r>
          </w:p>
        </w:tc>
      </w:tr>
      <w:tr>
        <w:tblPrEx>
          <w:tblCellMar>
            <w:top w:w="144" w:type="dxa"/>
            <w:left w:w="266" w:type="dxa"/>
            <w:bottom w:w="51" w:type="dxa"/>
            <w:right w:w="115" w:type="dxa"/>
          </w:tblCellMar>
        </w:tblPrEx>
        <w:trPr>
          <w:trHeight w:val="227"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none"/>
              </w:rPr>
            </w:pPr>
            <w:r>
              <w:rPr>
                <w:highlight w:val="none"/>
              </w:rPr>
              <w:t>受记过处分</w:t>
            </w:r>
          </w:p>
        </w:tc>
        <w:tc>
          <w:tcPr>
            <w:tcW w:w="2615" w:type="dxa"/>
            <w:tcBorders>
              <w:top w:val="single" w:color="000000" w:sz="4" w:space="0"/>
              <w:left w:val="single" w:color="000000" w:sz="4" w:space="0"/>
              <w:bottom w:val="single" w:color="000000" w:sz="4" w:space="0"/>
              <w:right w:val="single" w:color="000000" w:sz="4" w:space="0"/>
            </w:tcBorders>
          </w:tcPr>
          <w:p>
            <w:pPr>
              <w:spacing w:after="0" w:line="240" w:lineRule="auto"/>
              <w:ind w:left="0" w:right="144" w:firstLine="0"/>
              <w:jc w:val="center"/>
              <w:rPr>
                <w:highlight w:val="none"/>
              </w:rPr>
            </w:pPr>
            <w:r>
              <w:rPr>
                <w:highlight w:val="none"/>
              </w:rPr>
              <w:t>8</w:t>
            </w:r>
          </w:p>
        </w:tc>
      </w:tr>
      <w:tr>
        <w:tblPrEx>
          <w:tblCellMar>
            <w:top w:w="144" w:type="dxa"/>
            <w:left w:w="266" w:type="dxa"/>
            <w:bottom w:w="51" w:type="dxa"/>
            <w:right w:w="115" w:type="dxa"/>
          </w:tblCellMar>
        </w:tblPrEx>
        <w:trPr>
          <w:trHeight w:val="312"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none"/>
              </w:rPr>
            </w:pPr>
            <w:r>
              <w:rPr>
                <w:highlight w:val="none"/>
              </w:rPr>
              <w:t>受严重警告处分</w:t>
            </w:r>
          </w:p>
        </w:tc>
        <w:tc>
          <w:tcPr>
            <w:tcW w:w="2615" w:type="dxa"/>
            <w:tcBorders>
              <w:top w:val="single" w:color="000000" w:sz="4" w:space="0"/>
              <w:left w:val="single" w:color="000000" w:sz="4" w:space="0"/>
              <w:bottom w:val="single" w:color="000000" w:sz="4" w:space="0"/>
              <w:right w:val="single" w:color="000000" w:sz="4" w:space="0"/>
            </w:tcBorders>
          </w:tcPr>
          <w:p>
            <w:pPr>
              <w:spacing w:after="0" w:line="240" w:lineRule="auto"/>
              <w:ind w:left="0" w:right="144" w:firstLine="0"/>
              <w:jc w:val="center"/>
              <w:rPr>
                <w:highlight w:val="none"/>
              </w:rPr>
            </w:pPr>
            <w:r>
              <w:rPr>
                <w:highlight w:val="none"/>
              </w:rPr>
              <w:t>6</w:t>
            </w:r>
          </w:p>
        </w:tc>
      </w:tr>
      <w:tr>
        <w:tblPrEx>
          <w:tblCellMar>
            <w:top w:w="144" w:type="dxa"/>
            <w:left w:w="266" w:type="dxa"/>
            <w:bottom w:w="51" w:type="dxa"/>
            <w:right w:w="115" w:type="dxa"/>
          </w:tblCellMar>
        </w:tblPrEx>
        <w:trPr>
          <w:trHeight w:val="297"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none"/>
              </w:rPr>
            </w:pPr>
            <w:r>
              <w:rPr>
                <w:highlight w:val="none"/>
              </w:rPr>
              <w:t>受警告处分</w:t>
            </w:r>
          </w:p>
        </w:tc>
        <w:tc>
          <w:tcPr>
            <w:tcW w:w="2615" w:type="dxa"/>
            <w:tcBorders>
              <w:top w:val="single" w:color="000000" w:sz="4" w:space="0"/>
              <w:left w:val="single" w:color="000000" w:sz="4" w:space="0"/>
              <w:bottom w:val="single" w:color="000000" w:sz="4" w:space="0"/>
              <w:right w:val="single" w:color="000000" w:sz="4" w:space="0"/>
            </w:tcBorders>
          </w:tcPr>
          <w:p>
            <w:pPr>
              <w:spacing w:after="0" w:line="240" w:lineRule="auto"/>
              <w:ind w:left="0" w:right="144" w:firstLine="0"/>
              <w:jc w:val="center"/>
              <w:rPr>
                <w:highlight w:val="none"/>
              </w:rPr>
            </w:pPr>
            <w:r>
              <w:rPr>
                <w:highlight w:val="none"/>
              </w:rPr>
              <w:t>4</w:t>
            </w:r>
          </w:p>
        </w:tc>
      </w:tr>
      <w:tr>
        <w:tblPrEx>
          <w:tblCellMar>
            <w:top w:w="144" w:type="dxa"/>
            <w:left w:w="266" w:type="dxa"/>
            <w:bottom w:w="51" w:type="dxa"/>
            <w:right w:w="115" w:type="dxa"/>
          </w:tblCellMar>
        </w:tblPrEx>
        <w:trPr>
          <w:trHeight w:val="255"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yellow"/>
              </w:rPr>
            </w:pPr>
            <w:r>
              <w:rPr>
                <w:highlight w:val="none"/>
              </w:rPr>
              <w:t>旷课一节</w:t>
            </w:r>
          </w:p>
        </w:tc>
        <w:tc>
          <w:tcPr>
            <w:tcW w:w="2615" w:type="dxa"/>
            <w:vMerge w:val="restart"/>
            <w:tcBorders>
              <w:top w:val="single" w:color="000000" w:sz="4" w:space="0"/>
              <w:left w:val="single" w:color="000000" w:sz="4" w:space="0"/>
              <w:right w:val="single" w:color="000000" w:sz="4" w:space="0"/>
            </w:tcBorders>
            <w:vAlign w:val="center"/>
          </w:tcPr>
          <w:p>
            <w:pPr>
              <w:spacing w:after="0" w:line="240" w:lineRule="auto"/>
              <w:ind w:left="0" w:right="144" w:firstLine="0"/>
              <w:jc w:val="center"/>
              <w:rPr>
                <w:rFonts w:hint="default" w:eastAsia="宋体"/>
                <w:highlight w:val="yellow"/>
                <w:lang w:val="en-US" w:eastAsia="zh-CN"/>
              </w:rPr>
            </w:pPr>
            <w:r>
              <w:rPr>
                <w:rFonts w:hint="eastAsia"/>
                <w:highlight w:val="none"/>
                <w:lang w:val="en-US" w:eastAsia="zh-CN"/>
              </w:rPr>
              <w:t>2</w:t>
            </w:r>
          </w:p>
        </w:tc>
      </w:tr>
      <w:tr>
        <w:tblPrEx>
          <w:tblCellMar>
            <w:top w:w="144" w:type="dxa"/>
            <w:left w:w="266" w:type="dxa"/>
            <w:bottom w:w="51" w:type="dxa"/>
            <w:right w:w="115" w:type="dxa"/>
          </w:tblCellMar>
        </w:tblPrEx>
        <w:trPr>
          <w:trHeight w:val="267"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rFonts w:hint="default" w:eastAsia="宋体"/>
                <w:highlight w:val="none"/>
                <w:lang w:val="en-US" w:eastAsia="zh-CN"/>
              </w:rPr>
            </w:pPr>
            <w:r>
              <w:rPr>
                <w:rFonts w:hint="eastAsia"/>
                <w:highlight w:val="none"/>
                <w:shd w:val="clear"/>
                <w:lang w:val="en-US" w:eastAsia="zh-CN"/>
              </w:rPr>
              <w:t>受校院通报批评</w:t>
            </w:r>
          </w:p>
        </w:tc>
        <w:tc>
          <w:tcPr>
            <w:tcW w:w="2615" w:type="dxa"/>
            <w:vMerge w:val="continue"/>
            <w:tcBorders>
              <w:left w:val="single" w:color="000000" w:sz="4" w:space="0"/>
              <w:bottom w:val="single" w:color="000000" w:sz="4" w:space="0"/>
              <w:right w:val="single" w:color="000000" w:sz="4" w:space="0"/>
            </w:tcBorders>
            <w:vAlign w:val="center"/>
          </w:tcPr>
          <w:p>
            <w:pPr>
              <w:spacing w:after="0" w:line="240" w:lineRule="auto"/>
              <w:ind w:left="0" w:right="142" w:firstLine="0"/>
              <w:jc w:val="center"/>
              <w:rPr>
                <w:rFonts w:hint="eastAsia" w:eastAsia="宋体"/>
                <w:highlight w:val="none"/>
                <w:lang w:val="en-US" w:eastAsia="zh-CN"/>
              </w:rPr>
            </w:pPr>
          </w:p>
        </w:tc>
      </w:tr>
      <w:tr>
        <w:tblPrEx>
          <w:tblCellMar>
            <w:top w:w="144" w:type="dxa"/>
            <w:left w:w="266" w:type="dxa"/>
            <w:bottom w:w="51" w:type="dxa"/>
            <w:right w:w="115" w:type="dxa"/>
          </w:tblCellMar>
        </w:tblPrEx>
        <w:trPr>
          <w:trHeight w:val="290"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none"/>
              </w:rPr>
            </w:pPr>
            <w:r>
              <w:rPr>
                <w:highlight w:val="none"/>
              </w:rPr>
              <w:t>上课迟到、早退</w:t>
            </w:r>
          </w:p>
        </w:tc>
        <w:tc>
          <w:tcPr>
            <w:tcW w:w="2615" w:type="dxa"/>
            <w:vMerge w:val="restart"/>
            <w:tcBorders>
              <w:top w:val="nil"/>
              <w:left w:val="single" w:color="000000" w:sz="4" w:space="0"/>
              <w:right w:val="single" w:color="000000" w:sz="4" w:space="0"/>
            </w:tcBorders>
          </w:tcPr>
          <w:p>
            <w:pPr>
              <w:spacing w:after="160" w:line="240" w:lineRule="auto"/>
              <w:ind w:left="0" w:right="0" w:firstLine="1050" w:firstLineChars="500"/>
              <w:rPr>
                <w:rFonts w:hint="eastAsia"/>
                <w:highlight w:val="none"/>
                <w:lang w:val="en-US" w:eastAsia="zh-CN"/>
              </w:rPr>
            </w:pPr>
          </w:p>
          <w:p>
            <w:pPr>
              <w:spacing w:after="160" w:line="240" w:lineRule="auto"/>
              <w:ind w:left="0" w:right="0" w:firstLine="1050" w:firstLineChars="500"/>
              <w:rPr>
                <w:rFonts w:hint="eastAsia" w:eastAsia="宋体"/>
                <w:highlight w:val="none"/>
                <w:lang w:val="en-US" w:eastAsia="zh-CN"/>
              </w:rPr>
            </w:pPr>
            <w:r>
              <w:rPr>
                <w:rFonts w:hint="eastAsia"/>
                <w:highlight w:val="none"/>
                <w:lang w:val="en-US" w:eastAsia="zh-CN"/>
              </w:rPr>
              <w:t>1</w:t>
            </w:r>
          </w:p>
        </w:tc>
      </w:tr>
      <w:tr>
        <w:tblPrEx>
          <w:tblCellMar>
            <w:top w:w="144" w:type="dxa"/>
            <w:left w:w="266" w:type="dxa"/>
            <w:bottom w:w="51" w:type="dxa"/>
            <w:right w:w="115" w:type="dxa"/>
          </w:tblCellMar>
        </w:tblPrEx>
        <w:trPr>
          <w:trHeight w:val="137"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none"/>
              </w:rPr>
            </w:pPr>
            <w:r>
              <w:rPr>
                <w:highlight w:val="none"/>
              </w:rPr>
              <w:t>未经请假而缺席集体活动</w:t>
            </w:r>
          </w:p>
        </w:tc>
        <w:tc>
          <w:tcPr>
            <w:tcW w:w="2615" w:type="dxa"/>
            <w:vMerge w:val="continue"/>
            <w:tcBorders>
              <w:left w:val="single" w:color="000000" w:sz="4" w:space="0"/>
              <w:right w:val="single" w:color="000000" w:sz="4" w:space="0"/>
            </w:tcBorders>
          </w:tcPr>
          <w:p>
            <w:pPr>
              <w:spacing w:after="160" w:line="240" w:lineRule="auto"/>
              <w:ind w:left="0" w:right="0" w:firstLine="0"/>
              <w:rPr>
                <w:highlight w:val="none"/>
              </w:rPr>
            </w:pPr>
          </w:p>
        </w:tc>
      </w:tr>
      <w:tr>
        <w:tblPrEx>
          <w:tblCellMar>
            <w:top w:w="144" w:type="dxa"/>
            <w:left w:w="266" w:type="dxa"/>
            <w:bottom w:w="51" w:type="dxa"/>
            <w:right w:w="115" w:type="dxa"/>
          </w:tblCellMar>
        </w:tblPrEx>
        <w:trPr>
          <w:trHeight w:val="90"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none"/>
              </w:rPr>
            </w:pPr>
            <w:r>
              <w:rPr>
                <w:highlight w:val="none"/>
              </w:rPr>
              <w:t>寝室卫生检查不合格</w:t>
            </w:r>
          </w:p>
        </w:tc>
        <w:tc>
          <w:tcPr>
            <w:tcW w:w="2615" w:type="dxa"/>
            <w:vMerge w:val="continue"/>
            <w:tcBorders>
              <w:left w:val="single" w:color="000000" w:sz="4" w:space="0"/>
              <w:bottom w:val="single" w:color="000000" w:sz="4" w:space="0"/>
              <w:right w:val="single" w:color="000000" w:sz="4" w:space="0"/>
            </w:tcBorders>
          </w:tcPr>
          <w:p>
            <w:pPr>
              <w:spacing w:after="160" w:line="240" w:lineRule="auto"/>
              <w:ind w:left="0" w:right="0" w:firstLine="0"/>
              <w:rPr>
                <w:highlight w:val="none"/>
              </w:rPr>
            </w:pPr>
          </w:p>
        </w:tc>
      </w:tr>
      <w:tr>
        <w:tblPrEx>
          <w:tblCellMar>
            <w:top w:w="144" w:type="dxa"/>
            <w:left w:w="266" w:type="dxa"/>
            <w:bottom w:w="51" w:type="dxa"/>
            <w:right w:w="115" w:type="dxa"/>
          </w:tblCellMar>
        </w:tblPrEx>
        <w:trPr>
          <w:trHeight w:val="235" w:hRule="atLeast"/>
          <w:jc w:val="center"/>
        </w:trPr>
        <w:tc>
          <w:tcPr>
            <w:tcW w:w="5551" w:type="dxa"/>
            <w:tcBorders>
              <w:top w:val="single" w:color="000000" w:sz="4" w:space="0"/>
              <w:left w:val="single" w:color="000000" w:sz="4" w:space="0"/>
              <w:bottom w:val="single" w:color="000000" w:sz="4" w:space="0"/>
              <w:right w:val="single" w:color="000000" w:sz="4" w:space="0"/>
            </w:tcBorders>
          </w:tcPr>
          <w:p>
            <w:pPr>
              <w:spacing w:after="0" w:line="240" w:lineRule="auto"/>
              <w:ind w:left="57" w:right="0" w:firstLine="0"/>
              <w:rPr>
                <w:highlight w:val="none"/>
              </w:rPr>
            </w:pPr>
            <w:r>
              <w:rPr>
                <w:highlight w:val="none"/>
              </w:rPr>
              <w:t>其他不遵守相关规定的行为</w:t>
            </w:r>
          </w:p>
        </w:tc>
        <w:tc>
          <w:tcPr>
            <w:tcW w:w="2615" w:type="dxa"/>
            <w:tcBorders>
              <w:top w:val="single" w:color="000000" w:sz="4" w:space="0"/>
              <w:left w:val="single" w:color="000000" w:sz="4" w:space="0"/>
              <w:bottom w:val="single" w:color="000000" w:sz="4" w:space="0"/>
              <w:right w:val="single" w:color="000000" w:sz="4" w:space="0"/>
            </w:tcBorders>
          </w:tcPr>
          <w:p>
            <w:pPr>
              <w:spacing w:after="0" w:line="240" w:lineRule="auto"/>
              <w:ind w:left="0" w:right="145" w:firstLine="0"/>
              <w:jc w:val="center"/>
              <w:rPr>
                <w:highlight w:val="none"/>
              </w:rPr>
            </w:pPr>
            <w:r>
              <w:rPr>
                <w:highlight w:val="none"/>
              </w:rPr>
              <w:t>0.5-1</w:t>
            </w:r>
          </w:p>
        </w:tc>
      </w:tr>
    </w:tbl>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rPr>
      </w:pP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rPr>
      </w:pPr>
    </w:p>
    <w:p>
      <w:pPr>
        <w:keepNext w:val="0"/>
        <w:keepLines w:val="0"/>
        <w:widowControl/>
        <w:suppressLineNumbers w:val="0"/>
        <w:spacing w:line="360" w:lineRule="auto"/>
        <w:jc w:val="left"/>
        <w:rPr>
          <w:sz w:val="28"/>
          <w:szCs w:val="28"/>
          <w:highlight w:val="none"/>
        </w:rPr>
      </w:pPr>
      <w:r>
        <w:rPr>
          <w:rFonts w:hint="eastAsia" w:ascii="宋体" w:hAnsi="宋体" w:eastAsia="宋体" w:cs="宋体"/>
          <w:color w:val="000000"/>
          <w:kern w:val="0"/>
          <w:sz w:val="28"/>
          <w:szCs w:val="28"/>
          <w:highlight w:val="none"/>
          <w:lang w:val="en-US" w:eastAsia="zh-CN"/>
        </w:rPr>
        <w:t xml:space="preserve">赋分说明： </w:t>
      </w:r>
    </w:p>
    <w:p>
      <w:pPr>
        <w:keepNext w:val="0"/>
        <w:keepLines w:val="0"/>
        <w:widowControl/>
        <w:suppressLineNumbers w:val="0"/>
        <w:spacing w:line="360" w:lineRule="auto"/>
        <w:ind w:left="210" w:leftChars="100" w:firstLine="546" w:firstLineChars="195"/>
        <w:jc w:val="left"/>
        <w:rPr>
          <w:sz w:val="28"/>
          <w:szCs w:val="28"/>
          <w:highlight w:val="none"/>
        </w:rPr>
      </w:pPr>
      <w:r>
        <w:rPr>
          <w:rFonts w:hint="eastAsia" w:ascii="宋体" w:hAnsi="宋体" w:eastAsia="宋体" w:cs="宋体"/>
          <w:color w:val="000000"/>
          <w:kern w:val="0"/>
          <w:sz w:val="28"/>
          <w:szCs w:val="28"/>
          <w:highlight w:val="none"/>
          <w:lang w:val="en-US" w:eastAsia="zh-CN"/>
        </w:rPr>
        <w:t xml:space="preserve">1.受留校察看处分者取消德育基础分；在网络新媒体发表或传播不当、不实言论或诋毁他人造谣生事者，对学校名誉、声誉造成重大影响，取消德育基础分。 </w:t>
      </w:r>
    </w:p>
    <w:p>
      <w:pPr>
        <w:keepNext w:val="0"/>
        <w:keepLines w:val="0"/>
        <w:widowControl/>
        <w:suppressLineNumbers w:val="0"/>
        <w:spacing w:line="360" w:lineRule="auto"/>
        <w:ind w:left="210" w:leftChars="100" w:firstLine="546" w:firstLineChars="195"/>
        <w:jc w:val="left"/>
        <w:rPr>
          <w:sz w:val="28"/>
          <w:szCs w:val="28"/>
          <w:highlight w:val="none"/>
        </w:rPr>
      </w:pPr>
      <w:r>
        <w:rPr>
          <w:rFonts w:hint="eastAsia" w:ascii="宋体" w:hAnsi="宋体" w:eastAsia="宋体" w:cs="宋体"/>
          <w:color w:val="000000"/>
          <w:kern w:val="0"/>
          <w:sz w:val="28"/>
          <w:szCs w:val="28"/>
          <w:highlight w:val="none"/>
          <w:lang w:val="en-US" w:eastAsia="zh-CN"/>
        </w:rPr>
        <w:t xml:space="preserve">2.集体活动指政治学习、组织生活、公益劳动和其他规定参加的集体活动等。 </w:t>
      </w:r>
    </w:p>
    <w:p>
      <w:pPr>
        <w:keepNext w:val="0"/>
        <w:keepLines w:val="0"/>
        <w:widowControl/>
        <w:suppressLineNumbers w:val="0"/>
        <w:spacing w:line="360" w:lineRule="auto"/>
        <w:ind w:left="210" w:leftChars="100" w:firstLine="546" w:firstLineChars="195"/>
        <w:jc w:val="left"/>
        <w:rPr>
          <w:sz w:val="28"/>
          <w:szCs w:val="28"/>
          <w:highlight w:val="none"/>
        </w:rPr>
      </w:pPr>
      <w:r>
        <w:rPr>
          <w:rFonts w:hint="eastAsia" w:ascii="宋体" w:hAnsi="宋体" w:eastAsia="宋体" w:cs="宋体"/>
          <w:color w:val="000000"/>
          <w:kern w:val="0"/>
          <w:sz w:val="28"/>
          <w:szCs w:val="28"/>
          <w:highlight w:val="none"/>
          <w:lang w:val="en-US" w:eastAsia="zh-CN"/>
        </w:rPr>
        <w:t xml:space="preserve">3.寝室卫生检查不合格指因寝室脏乱差受到学校或学院通报批评。 </w:t>
      </w:r>
    </w:p>
    <w:p>
      <w:pPr>
        <w:keepNext w:val="0"/>
        <w:keepLines w:val="0"/>
        <w:widowControl/>
        <w:suppressLineNumbers w:val="0"/>
        <w:spacing w:line="360" w:lineRule="auto"/>
        <w:ind w:left="210" w:leftChars="100" w:firstLine="546" w:firstLineChars="195"/>
        <w:jc w:val="left"/>
        <w:rPr>
          <w:sz w:val="28"/>
          <w:szCs w:val="28"/>
          <w:highlight w:val="none"/>
        </w:rPr>
      </w:pPr>
      <w:r>
        <w:rPr>
          <w:rFonts w:hint="eastAsia" w:ascii="宋体" w:hAnsi="宋体" w:eastAsia="宋体" w:cs="宋体"/>
          <w:color w:val="000000"/>
          <w:kern w:val="0"/>
          <w:sz w:val="28"/>
          <w:szCs w:val="28"/>
          <w:highlight w:val="none"/>
          <w:lang w:val="en-US" w:eastAsia="zh-CN"/>
        </w:rPr>
        <w:t>4.其他不遵守相关规定的行为指不遵守公共场所规章制度，扰乱公共秩序，有不文明言行，不爱护公共财产，破坏公物，尚不够纪律处分的行为</w:t>
      </w:r>
      <w:r>
        <w:rPr>
          <w:rFonts w:hint="eastAsia" w:cs="宋体"/>
          <w:color w:val="000000"/>
          <w:kern w:val="0"/>
          <w:sz w:val="28"/>
          <w:szCs w:val="28"/>
          <w:highlight w:val="none"/>
          <w:lang w:val="en-US" w:eastAsia="zh-CN"/>
        </w:rPr>
        <w:t>。</w:t>
      </w:r>
    </w:p>
    <w:p>
      <w:pPr>
        <w:spacing w:after="112" w:line="360" w:lineRule="auto"/>
        <w:ind w:left="0" w:leftChars="0" w:right="13" w:firstLine="0" w:firstLineChars="0"/>
        <w:rPr>
          <w:sz w:val="28"/>
          <w:szCs w:val="28"/>
          <w:highlight w:val="none"/>
        </w:rPr>
      </w:pPr>
    </w:p>
    <w:p>
      <w:pPr>
        <w:spacing w:after="104" w:line="360" w:lineRule="auto"/>
        <w:ind w:left="218" w:leftChars="104" w:right="249" w:firstLine="548" w:firstLineChars="195"/>
        <w:jc w:val="both"/>
        <w:rPr>
          <w:sz w:val="28"/>
          <w:szCs w:val="28"/>
          <w:highlight w:val="none"/>
        </w:rPr>
      </w:pPr>
      <w:r>
        <w:rPr>
          <w:b/>
          <w:bCs/>
          <w:sz w:val="28"/>
          <w:szCs w:val="28"/>
          <w:highlight w:val="none"/>
        </w:rPr>
        <w:t>第九条</w:t>
      </w:r>
      <w:r>
        <w:rPr>
          <w:rFonts w:hint="eastAsia"/>
          <w:b/>
          <w:bCs/>
          <w:sz w:val="28"/>
          <w:szCs w:val="28"/>
          <w:highlight w:val="none"/>
          <w:lang w:val="en-US" w:eastAsia="zh-CN"/>
        </w:rPr>
        <w:t xml:space="preserve"> </w:t>
      </w:r>
      <w:r>
        <w:rPr>
          <w:b w:val="0"/>
          <w:bCs w:val="0"/>
          <w:sz w:val="28"/>
          <w:szCs w:val="28"/>
          <w:highlight w:val="none"/>
        </w:rPr>
        <w:t>智育测评。</w:t>
      </w:r>
      <w:r>
        <w:rPr>
          <w:sz w:val="28"/>
          <w:szCs w:val="28"/>
          <w:highlight w:val="none"/>
        </w:rPr>
        <w:t>智育测评主要评估学生的学习成绩、学习效果以及科学研究和创新能</w:t>
      </w:r>
      <w:r>
        <w:rPr>
          <w:rFonts w:hint="eastAsia"/>
          <w:sz w:val="28"/>
          <w:szCs w:val="28"/>
          <w:highlight w:val="none"/>
          <w:lang w:val="en-US" w:eastAsia="zh-CN"/>
        </w:rPr>
        <w:t>力</w:t>
      </w:r>
      <w:r>
        <w:rPr>
          <w:sz w:val="28"/>
          <w:szCs w:val="28"/>
          <w:highlight w:val="none"/>
        </w:rPr>
        <w:t>，由学习成绩测评分和智育奖励分两部分组成。学习成绩满分为 100 分，智育奖励满分为 10 分，总计 110 分。</w:t>
      </w:r>
    </w:p>
    <w:p>
      <w:pPr>
        <w:pStyle w:val="3"/>
        <w:spacing w:after="822" w:line="360" w:lineRule="auto"/>
        <w:ind w:left="1403" w:leftChars="668" w:right="0" w:firstLine="199" w:firstLineChars="95"/>
        <w:jc w:val="center"/>
        <w:rPr>
          <w:highlight w:val="none"/>
        </w:rPr>
      </w:pPr>
      <w:r>
        <w:rPr>
          <w:highlight w:val="none"/>
        </w:rPr>
        <w:t>智育测评得分的计算公式为：基础分（学分加权平均分）+奖励分</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rPr>
        <w:t>（一）学分加权平均分的计算公式</w:t>
      </w:r>
    </w:p>
    <w:p>
      <w:pPr>
        <w:spacing w:after="1" w:line="240" w:lineRule="auto"/>
        <w:ind w:left="-15" w:right="0" w:firstLine="2256"/>
        <w:jc w:val="both"/>
        <w:rPr>
          <w:highlight w:val="none"/>
        </w:rPr>
      </w:pPr>
      <w:r>
        <w:rPr>
          <w:sz w:val="22"/>
          <w:highlight w:val="none"/>
        </w:rPr>
        <w:t>A科学分×A科成绩+B科学分×B科成绩+···+N科学分×N科成</w:t>
      </w:r>
      <w:r>
        <w:rPr>
          <w:rFonts w:hint="eastAsia"/>
          <w:sz w:val="22"/>
          <w:highlight w:val="none"/>
          <w:lang w:val="en-US" w:eastAsia="zh-CN"/>
        </w:rPr>
        <w:t>绩</w:t>
      </w:r>
      <w:r>
        <w:rPr>
          <w:sz w:val="22"/>
          <w:highlight w:val="none"/>
        </w:rPr>
        <w:t>学分加权平均分=</w:t>
      </w:r>
      <w:r>
        <w:rPr>
          <w:rFonts w:ascii="Calibri" w:hAnsi="Calibri" w:eastAsia="Calibri" w:cs="Calibri"/>
          <w:sz w:val="22"/>
          <w:highlight w:val="none"/>
        </w:rPr>
        <mc:AlternateContent>
          <mc:Choice Requires="wpg">
            <w:drawing>
              <wp:inline distT="0" distB="0" distL="0" distR="0">
                <wp:extent cx="4342130" cy="7620"/>
                <wp:effectExtent l="0" t="0" r="0" b="0"/>
                <wp:docPr id="1026" name="Group 14955"/>
                <wp:cNvGraphicFramePr/>
                <a:graphic xmlns:a="http://schemas.openxmlformats.org/drawingml/2006/main">
                  <a:graphicData uri="http://schemas.microsoft.com/office/word/2010/wordprocessingGroup">
                    <wpg:wgp>
                      <wpg:cNvGrpSpPr/>
                      <wpg:grpSpPr>
                        <a:xfrm rot="0">
                          <a:off x="0" y="0"/>
                          <a:ext cx="4342130" cy="7620"/>
                          <a:chOff x="0" y="0"/>
                          <a:chExt cx="4342130" cy="7620"/>
                        </a:xfrm>
                      </wpg:grpSpPr>
                      <wps:wsp>
                        <wps:cNvPr id="1" name="任意多边形 1"/>
                        <wps:cNvSpPr/>
                        <wps:spPr>
                          <a:xfrm>
                            <a:off x="0" y="0"/>
                            <a:ext cx="4342130" cy="9144"/>
                          </a:xfrm>
                          <a:custGeom>
                            <a:avLst/>
                            <a:gdLst/>
                            <a:ahLst/>
                            <a:cxnLst/>
                            <a:rect l="l" t="t" r="r" b="b"/>
                            <a:pathLst>
                              <a:path w="4342130" h="9144">
                                <a:moveTo>
                                  <a:pt x="0" y="0"/>
                                </a:moveTo>
                                <a:lnTo>
                                  <a:pt x="4342130" y="0"/>
                                </a:lnTo>
                                <a:lnTo>
                                  <a:pt x="4342130"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wps:wsp>
                    </wpg:wgp>
                  </a:graphicData>
                </a:graphic>
              </wp:inline>
            </w:drawing>
          </mc:Choice>
          <mc:Fallback>
            <w:pict>
              <v:group id="Group 14955" o:spid="_x0000_s1026" o:spt="203" style="height:0.6pt;width:341.9pt;" coordsize="4342130,7620" o:gfxdata="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ihoTjdQAAAADAQAADwAAAAAAAAABACAAAAAiAAAAZHJzL2Rvd25yZXYu&#10;eG1sUEsBAhQAFAAAAAgAh07iQGpxCHWqAgAAigYAAA4AAAAAAAAAAQAgAAAAIwEAAGRycy9lMm9E&#10;b2MueG1sUEsFBgAAAAAGAAYAWQEAAD8GAAAAAA==&#10;">
                <o:lock v:ext="edit" aspectratio="f"/>
                <v:shape id="_x0000_s1026" o:spid="_x0000_s1026" o:spt="100" style="position:absolute;left:0;top:0;height:9144;width:4342130;" fillcolor="#000000" filled="t" stroked="t" coordsize="4342130,9144" o:gfxdata="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XYAbgAAADaAAAA&#10;DwAAAAAAAAABACAAAAAiAAAAZHJzL2Rvd25yZXYueG1sUEsBAhQAFAAAAAgAh07iQDMvBZ47AAAA&#10;OQAAABAAAAAAAAAAAQAgAAAABwEAAGRycy9zaGFwZXhtbC54bWxQSwUGAAAAAAYABgBbAQAAsQMA&#10;AAAA&#10;" path="m0,0l4342130,0,4342130,9144,0,9144,0,0e">
                  <v:fill on="t" focussize="0,0"/>
                  <v:stroke weight="0pt" color="#000000" joinstyle="miter"/>
                  <v:imagedata o:title=""/>
                  <o:lock v:ext="edit" aspectratio="f"/>
                </v:shape>
                <w10:wrap type="none"/>
                <w10:anchorlock/>
              </v:group>
            </w:pict>
          </mc:Fallback>
        </mc:AlternateContent>
      </w:r>
    </w:p>
    <w:p>
      <w:pPr>
        <w:spacing w:after="815" w:line="240" w:lineRule="auto"/>
        <w:ind w:left="3658" w:right="0"/>
        <w:jc w:val="both"/>
        <w:rPr>
          <w:sz w:val="22"/>
          <w:highlight w:val="none"/>
        </w:rPr>
      </w:pPr>
      <w:r>
        <w:rPr>
          <w:sz w:val="22"/>
          <w:highlight w:val="none"/>
        </w:rPr>
        <w:t>A科学分+B科学分+···+N科学分</w:t>
      </w:r>
    </w:p>
    <w:p>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注：考试成绩按照</w:t>
      </w:r>
      <w:r>
        <w:rPr>
          <w:rFonts w:hint="eastAsia" w:cs="宋体"/>
          <w:color w:val="000000" w:themeColor="text1"/>
          <w:sz w:val="28"/>
          <w:szCs w:val="28"/>
          <w:highlight w:val="none"/>
          <w:lang w:val="en-US" w:eastAsia="zh-CN"/>
          <w14:textFill>
            <w14:solidFill>
              <w14:schemeClr w14:val="tx1"/>
            </w14:solidFill>
          </w14:textFill>
        </w:rPr>
        <w:t>第一次正考成绩</w:t>
      </w:r>
      <w:r>
        <w:rPr>
          <w:rFonts w:hint="eastAsia" w:ascii="宋体" w:hAnsi="宋体" w:eastAsia="宋体" w:cs="宋体"/>
          <w:sz w:val="28"/>
          <w:szCs w:val="28"/>
          <w:highlight w:val="none"/>
        </w:rPr>
        <w:t>计算</w:t>
      </w:r>
      <w:r>
        <w:rPr>
          <w:rFonts w:hint="eastAsia" w:cs="宋体"/>
          <w:sz w:val="28"/>
          <w:szCs w:val="28"/>
          <w:highlight w:val="none"/>
          <w:lang w:eastAsia="zh-CN"/>
        </w:rPr>
        <w:t>；</w:t>
      </w:r>
      <w:r>
        <w:rPr>
          <w:rFonts w:hint="eastAsia" w:ascii="宋体" w:hAnsi="宋体" w:eastAsia="宋体" w:cs="宋体"/>
          <w:sz w:val="28"/>
          <w:szCs w:val="28"/>
          <w:highlight w:val="none"/>
        </w:rPr>
        <w:t>智育测评以教务系统计算结果为准。</w:t>
      </w:r>
    </w:p>
    <w:p>
      <w:pPr>
        <w:keepNext w:val="0"/>
        <w:keepLines w:val="0"/>
        <w:widowControl/>
        <w:suppressLineNumbers w:val="0"/>
        <w:jc w:val="left"/>
        <w:rPr>
          <w:sz w:val="28"/>
          <w:szCs w:val="28"/>
          <w:highlight w:val="none"/>
        </w:rPr>
      </w:pPr>
      <w:r>
        <w:rPr>
          <w:rFonts w:hint="eastAsia" w:ascii="宋体" w:hAnsi="宋体" w:eastAsia="宋体" w:cs="宋体"/>
          <w:b/>
          <w:bCs/>
          <w:color w:val="000000"/>
          <w:kern w:val="0"/>
          <w:sz w:val="28"/>
          <w:szCs w:val="28"/>
          <w:highlight w:val="none"/>
          <w:lang w:val="en-US" w:eastAsia="zh-CN"/>
        </w:rPr>
        <w:t xml:space="preserve">（二）智育测评奖励分 </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rPr>
        <w:t>1.学术研究创新能力计分</w:t>
      </w:r>
    </w:p>
    <w:p>
      <w:pPr>
        <w:spacing w:after="0" w:line="240" w:lineRule="auto"/>
        <w:ind w:left="0" w:leftChars="0" w:right="53"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表 5 专业学术论文赋分标准（单位：分）</w:t>
      </w:r>
    </w:p>
    <w:tbl>
      <w:tblPr>
        <w:tblStyle w:val="10"/>
        <w:tblW w:w="6353" w:type="dxa"/>
        <w:jc w:val="center"/>
        <w:tblLayout w:type="autofit"/>
        <w:tblCellMar>
          <w:top w:w="0" w:type="dxa"/>
          <w:left w:w="286" w:type="dxa"/>
          <w:bottom w:w="59" w:type="dxa"/>
          <w:right w:w="115" w:type="dxa"/>
        </w:tblCellMar>
      </w:tblPr>
      <w:tblGrid>
        <w:gridCol w:w="2118"/>
        <w:gridCol w:w="2117"/>
        <w:gridCol w:w="2118"/>
      </w:tblGrid>
      <w:tr>
        <w:tblPrEx>
          <w:tblCellMar>
            <w:top w:w="0" w:type="dxa"/>
            <w:left w:w="286" w:type="dxa"/>
            <w:bottom w:w="59" w:type="dxa"/>
            <w:right w:w="115" w:type="dxa"/>
          </w:tblCellMar>
        </w:tblPrEx>
        <w:trPr>
          <w:trHeight w:val="90" w:hRule="atLeast"/>
          <w:jc w:val="center"/>
        </w:trPr>
        <w:tc>
          <w:tcPr>
            <w:tcW w:w="2118" w:type="dxa"/>
            <w:tcBorders>
              <w:top w:val="single" w:color="000000" w:sz="4" w:space="0"/>
              <w:left w:val="single" w:color="000000" w:sz="4" w:space="0"/>
              <w:bottom w:val="single" w:color="000000" w:sz="4" w:space="0"/>
              <w:right w:val="single" w:color="000000" w:sz="4" w:space="0"/>
            </w:tcBorders>
            <w:vAlign w:val="bottom"/>
          </w:tcPr>
          <w:p>
            <w:pPr>
              <w:spacing w:after="0" w:line="360" w:lineRule="auto"/>
              <w:ind w:left="105" w:right="0" w:firstLine="0"/>
              <w:rPr>
                <w:b/>
                <w:bCs/>
                <w:highlight w:val="none"/>
              </w:rPr>
            </w:pPr>
            <w:r>
              <w:rPr>
                <w:b/>
                <w:bCs/>
                <w:highlight w:val="none"/>
              </w:rPr>
              <w:t>论文作品类型</w:t>
            </w:r>
          </w:p>
        </w:tc>
        <w:tc>
          <w:tcPr>
            <w:tcW w:w="2117" w:type="dxa"/>
            <w:tcBorders>
              <w:top w:val="single" w:color="000000" w:sz="4" w:space="0"/>
              <w:left w:val="single" w:color="000000" w:sz="4" w:space="0"/>
              <w:bottom w:val="single" w:color="000000" w:sz="4" w:space="0"/>
              <w:right w:val="single" w:color="000000" w:sz="4" w:space="0"/>
            </w:tcBorders>
            <w:vAlign w:val="bottom"/>
          </w:tcPr>
          <w:p>
            <w:pPr>
              <w:spacing w:after="0" w:line="360" w:lineRule="auto"/>
              <w:ind w:left="0" w:right="244" w:firstLine="0"/>
              <w:jc w:val="center"/>
              <w:rPr>
                <w:b/>
                <w:bCs/>
                <w:highlight w:val="none"/>
              </w:rPr>
            </w:pPr>
            <w:r>
              <w:rPr>
                <w:b/>
                <w:bCs/>
                <w:highlight w:val="none"/>
              </w:rPr>
              <w:t>核心期刊</w:t>
            </w:r>
          </w:p>
        </w:tc>
        <w:tc>
          <w:tcPr>
            <w:tcW w:w="2118" w:type="dxa"/>
            <w:tcBorders>
              <w:top w:val="single" w:color="000000" w:sz="4" w:space="0"/>
              <w:left w:val="single" w:color="000000" w:sz="4" w:space="0"/>
              <w:bottom w:val="single" w:color="000000" w:sz="4" w:space="0"/>
              <w:right w:val="single" w:color="000000" w:sz="4" w:space="0"/>
            </w:tcBorders>
            <w:vAlign w:val="bottom"/>
          </w:tcPr>
          <w:p>
            <w:pPr>
              <w:spacing w:after="0" w:line="360" w:lineRule="auto"/>
              <w:ind w:left="0" w:right="0" w:firstLine="0"/>
              <w:rPr>
                <w:b/>
                <w:bCs/>
                <w:highlight w:val="none"/>
              </w:rPr>
            </w:pPr>
            <w:r>
              <w:rPr>
                <w:b/>
                <w:bCs/>
                <w:highlight w:val="none"/>
              </w:rPr>
              <w:t>省级及以上期刊</w:t>
            </w:r>
          </w:p>
        </w:tc>
      </w:tr>
      <w:tr>
        <w:tblPrEx>
          <w:tblCellMar>
            <w:top w:w="0" w:type="dxa"/>
            <w:left w:w="286" w:type="dxa"/>
            <w:bottom w:w="59" w:type="dxa"/>
            <w:right w:w="115" w:type="dxa"/>
          </w:tblCellMar>
        </w:tblPrEx>
        <w:trPr>
          <w:trHeight w:val="250" w:hRule="atLeast"/>
          <w:jc w:val="center"/>
        </w:trPr>
        <w:tc>
          <w:tcPr>
            <w:tcW w:w="2118" w:type="dxa"/>
            <w:tcBorders>
              <w:top w:val="single" w:color="000000" w:sz="4" w:space="0"/>
              <w:left w:val="single" w:color="000000" w:sz="4" w:space="0"/>
              <w:bottom w:val="single" w:color="000000" w:sz="4" w:space="0"/>
              <w:right w:val="single" w:color="000000" w:sz="4" w:space="0"/>
            </w:tcBorders>
            <w:vAlign w:val="bottom"/>
          </w:tcPr>
          <w:p>
            <w:pPr>
              <w:spacing w:after="0" w:line="360" w:lineRule="auto"/>
              <w:ind w:left="0" w:right="245" w:firstLine="0"/>
              <w:jc w:val="center"/>
              <w:rPr>
                <w:highlight w:val="none"/>
              </w:rPr>
            </w:pPr>
            <w:r>
              <w:rPr>
                <w:highlight w:val="none"/>
              </w:rPr>
              <w:t>学术类</w:t>
            </w:r>
          </w:p>
        </w:tc>
        <w:tc>
          <w:tcPr>
            <w:tcW w:w="2117" w:type="dxa"/>
            <w:tcBorders>
              <w:top w:val="single" w:color="000000" w:sz="4" w:space="0"/>
              <w:left w:val="single" w:color="000000" w:sz="4" w:space="0"/>
              <w:bottom w:val="single" w:color="000000" w:sz="4" w:space="0"/>
              <w:right w:val="single" w:color="000000" w:sz="4" w:space="0"/>
            </w:tcBorders>
            <w:vAlign w:val="bottom"/>
          </w:tcPr>
          <w:p>
            <w:pPr>
              <w:spacing w:after="0" w:line="360" w:lineRule="auto"/>
              <w:ind w:left="0" w:right="243" w:firstLine="0"/>
              <w:jc w:val="center"/>
              <w:rPr>
                <w:highlight w:val="none"/>
              </w:rPr>
            </w:pPr>
            <w:r>
              <w:rPr>
                <w:highlight w:val="none"/>
              </w:rPr>
              <w:t>10</w:t>
            </w:r>
          </w:p>
        </w:tc>
        <w:tc>
          <w:tcPr>
            <w:tcW w:w="2118" w:type="dxa"/>
            <w:tcBorders>
              <w:top w:val="single" w:color="000000" w:sz="4" w:space="0"/>
              <w:left w:val="single" w:color="000000" w:sz="4" w:space="0"/>
              <w:bottom w:val="single" w:color="000000" w:sz="4" w:space="0"/>
              <w:right w:val="single" w:color="000000" w:sz="4" w:space="0"/>
            </w:tcBorders>
            <w:vAlign w:val="bottom"/>
          </w:tcPr>
          <w:p>
            <w:pPr>
              <w:spacing w:after="0" w:line="360" w:lineRule="auto"/>
              <w:ind w:left="0" w:right="245" w:firstLine="0"/>
              <w:jc w:val="center"/>
              <w:rPr>
                <w:highlight w:val="none"/>
              </w:rPr>
            </w:pPr>
            <w:r>
              <w:rPr>
                <w:highlight w:val="none"/>
              </w:rPr>
              <w:t>6</w:t>
            </w:r>
          </w:p>
        </w:tc>
      </w:tr>
    </w:tbl>
    <w:p>
      <w:pPr>
        <w:spacing w:line="360" w:lineRule="auto"/>
        <w:ind w:right="13"/>
        <w:rPr>
          <w:sz w:val="28"/>
          <w:szCs w:val="28"/>
          <w:highlight w:val="none"/>
        </w:rPr>
      </w:pPr>
      <w:r>
        <w:rPr>
          <w:sz w:val="28"/>
          <w:szCs w:val="28"/>
          <w:highlight w:val="none"/>
        </w:rPr>
        <w:t>赋分说明：</w:t>
      </w:r>
    </w:p>
    <w:p>
      <w:pPr>
        <w:spacing w:line="360" w:lineRule="auto"/>
        <w:ind w:left="210" w:leftChars="100" w:right="13" w:firstLine="546" w:firstLineChars="195"/>
        <w:rPr>
          <w:sz w:val="28"/>
          <w:szCs w:val="28"/>
          <w:highlight w:val="none"/>
        </w:rPr>
      </w:pPr>
      <w:r>
        <w:rPr>
          <w:rFonts w:hint="eastAsia"/>
          <w:sz w:val="28"/>
          <w:szCs w:val="28"/>
          <w:highlight w:val="none"/>
        </w:rPr>
        <w:t>（1）</w:t>
      </w:r>
      <w:r>
        <w:rPr>
          <w:sz w:val="28"/>
          <w:szCs w:val="28"/>
          <w:highlight w:val="none"/>
        </w:rPr>
        <w:t>核心期刊核定标准参照中文核心期刊目录；省级期刊指由教育厅、教育局等政府、事业单位以及各高校主办的学术期刊杂志。</w:t>
      </w:r>
    </w:p>
    <w:p>
      <w:pPr>
        <w:spacing w:line="360" w:lineRule="auto"/>
        <w:ind w:left="210" w:leftChars="100" w:right="13" w:firstLine="546" w:firstLineChars="195"/>
        <w:rPr>
          <w:sz w:val="28"/>
          <w:szCs w:val="28"/>
          <w:highlight w:val="none"/>
        </w:rPr>
      </w:pPr>
      <w:r>
        <w:rPr>
          <w:rFonts w:hint="eastAsia"/>
          <w:sz w:val="28"/>
          <w:szCs w:val="28"/>
          <w:highlight w:val="none"/>
        </w:rPr>
        <w:t>（2）</w:t>
      </w:r>
      <w:r>
        <w:rPr>
          <w:sz w:val="28"/>
          <w:szCs w:val="28"/>
          <w:highlight w:val="none"/>
        </w:rPr>
        <w:t>学术论文需在国际、国内学术刊物上公开发表具有较高应用价值、经济效益或学术价值的论文，并已经正式出版。</w:t>
      </w:r>
    </w:p>
    <w:p>
      <w:pPr>
        <w:spacing w:line="360" w:lineRule="auto"/>
        <w:ind w:left="210" w:leftChars="100" w:right="13" w:firstLine="546" w:firstLineChars="195"/>
        <w:rPr>
          <w:sz w:val="28"/>
          <w:szCs w:val="28"/>
          <w:highlight w:val="none"/>
        </w:rPr>
      </w:pPr>
      <w:r>
        <w:rPr>
          <w:rFonts w:hint="eastAsia"/>
          <w:sz w:val="28"/>
          <w:szCs w:val="28"/>
          <w:highlight w:val="none"/>
        </w:rPr>
        <w:t>（3）</w:t>
      </w:r>
      <w:r>
        <w:rPr>
          <w:sz w:val="28"/>
          <w:szCs w:val="28"/>
          <w:highlight w:val="none"/>
        </w:rPr>
        <w:t>学术论文原则上不少于两个版面且字数不少于3500字，同时须提供登载刊物原件和检索页</w:t>
      </w:r>
      <w:r>
        <w:rPr>
          <w:rFonts w:hint="eastAsia"/>
          <w:sz w:val="28"/>
          <w:szCs w:val="28"/>
          <w:highlight w:val="none"/>
          <w:lang w:eastAsia="zh-CN"/>
        </w:rPr>
        <w:t>，</w:t>
      </w:r>
      <w:r>
        <w:rPr>
          <w:sz w:val="28"/>
          <w:szCs w:val="28"/>
          <w:highlight w:val="none"/>
        </w:rPr>
        <w:t>并经学院教授委员会认定论文的性质和级别。</w:t>
      </w:r>
    </w:p>
    <w:p>
      <w:pPr>
        <w:spacing w:line="360" w:lineRule="auto"/>
        <w:ind w:left="210" w:leftChars="100" w:right="13" w:firstLine="546" w:firstLineChars="195"/>
        <w:rPr>
          <w:rFonts w:hint="eastAsia" w:eastAsia="宋体"/>
          <w:sz w:val="28"/>
          <w:szCs w:val="28"/>
          <w:highlight w:val="none"/>
          <w:lang w:eastAsia="zh-CN"/>
        </w:rPr>
      </w:pPr>
      <w:r>
        <w:rPr>
          <w:rFonts w:hint="eastAsia"/>
          <w:sz w:val="28"/>
          <w:szCs w:val="28"/>
          <w:highlight w:val="none"/>
        </w:rPr>
        <w:t>（4）</w:t>
      </w:r>
      <w:r>
        <w:rPr>
          <w:sz w:val="28"/>
          <w:szCs w:val="28"/>
          <w:highlight w:val="none"/>
        </w:rPr>
        <w:t>论文为多个合作者，第一作者根据以上标准加分，第二作者减半，同一篇论文加分作者最多为 2 人</w:t>
      </w:r>
      <w:r>
        <w:rPr>
          <w:rFonts w:hint="eastAsia"/>
          <w:sz w:val="28"/>
          <w:szCs w:val="28"/>
          <w:highlight w:val="none"/>
          <w:lang w:eastAsia="zh-CN"/>
        </w:rPr>
        <w:t>。</w:t>
      </w:r>
    </w:p>
    <w:p>
      <w:pPr>
        <w:spacing w:line="360" w:lineRule="auto"/>
        <w:ind w:left="210" w:leftChars="100" w:right="13" w:firstLine="546" w:firstLineChars="195"/>
        <w:rPr>
          <w:sz w:val="28"/>
          <w:szCs w:val="28"/>
          <w:highlight w:val="none"/>
        </w:rPr>
      </w:pPr>
      <w:r>
        <w:rPr>
          <w:rFonts w:hint="eastAsia"/>
          <w:sz w:val="28"/>
          <w:szCs w:val="28"/>
          <w:highlight w:val="none"/>
        </w:rPr>
        <w:t>（</w:t>
      </w:r>
      <w:r>
        <w:rPr>
          <w:rFonts w:hint="eastAsia"/>
          <w:sz w:val="28"/>
          <w:szCs w:val="28"/>
          <w:highlight w:val="none"/>
          <w:lang w:val="en-US" w:eastAsia="zh-CN"/>
        </w:rPr>
        <w:t>5</w:t>
      </w:r>
      <w:r>
        <w:rPr>
          <w:rFonts w:hint="eastAsia"/>
          <w:sz w:val="28"/>
          <w:szCs w:val="28"/>
          <w:highlight w:val="none"/>
        </w:rPr>
        <w:t>）</w:t>
      </w:r>
      <w:r>
        <w:rPr>
          <w:sz w:val="28"/>
          <w:szCs w:val="28"/>
          <w:highlight w:val="none"/>
        </w:rPr>
        <w:t>同一论文被多家刊物转载，按最高等级刊物的标准计分一次；如在教育厅、教育局等政府、事业单位评选中获奖，加 2 分。</w:t>
      </w:r>
    </w:p>
    <w:p>
      <w:pPr>
        <w:spacing w:line="360" w:lineRule="auto"/>
        <w:ind w:left="210" w:leftChars="100" w:right="13" w:firstLine="546" w:firstLineChars="195"/>
        <w:rPr>
          <w:sz w:val="28"/>
          <w:szCs w:val="28"/>
          <w:highlight w:val="none"/>
        </w:rPr>
      </w:pPr>
      <w:r>
        <w:rPr>
          <w:rFonts w:hint="eastAsia"/>
          <w:sz w:val="28"/>
          <w:szCs w:val="28"/>
          <w:highlight w:val="none"/>
        </w:rPr>
        <w:t>（</w:t>
      </w:r>
      <w:r>
        <w:rPr>
          <w:rFonts w:hint="eastAsia"/>
          <w:sz w:val="28"/>
          <w:szCs w:val="28"/>
          <w:highlight w:val="none"/>
          <w:lang w:val="en-US" w:eastAsia="zh-CN"/>
        </w:rPr>
        <w:t>6</w:t>
      </w:r>
      <w:r>
        <w:rPr>
          <w:rFonts w:hint="eastAsia"/>
          <w:sz w:val="28"/>
          <w:szCs w:val="28"/>
          <w:highlight w:val="none"/>
        </w:rPr>
        <w:t>）</w:t>
      </w:r>
      <w:r>
        <w:rPr>
          <w:sz w:val="28"/>
          <w:szCs w:val="28"/>
          <w:highlight w:val="none"/>
        </w:rPr>
        <w:t>当出现同一论文发表证明及论文获奖证明同时存在的情况时，论文发表证明、获奖证明不可重复加分，统一按照发表论文的等级予以相应加分。</w:t>
      </w:r>
    </w:p>
    <w:p>
      <w:pPr>
        <w:spacing w:line="360" w:lineRule="auto"/>
        <w:ind w:right="2054"/>
        <w:jc w:val="both"/>
        <w:rPr>
          <w:sz w:val="28"/>
          <w:szCs w:val="28"/>
          <w:highlight w:val="none"/>
        </w:rPr>
      </w:pPr>
      <w:r>
        <w:rPr>
          <w:sz w:val="28"/>
          <w:szCs w:val="28"/>
          <w:highlight w:val="none"/>
        </w:rPr>
        <w:t>2.专业（学科）竞赛、科研创新能力计分</w:t>
      </w:r>
    </w:p>
    <w:p>
      <w:pPr>
        <w:spacing w:line="360" w:lineRule="auto"/>
        <w:ind w:right="2054"/>
        <w:jc w:val="center"/>
        <w:rPr>
          <w:b/>
          <w:bCs/>
          <w:highlight w:val="none"/>
        </w:rPr>
      </w:pPr>
      <w:r>
        <w:rPr>
          <w:rFonts w:hint="eastAsia"/>
          <w:b/>
          <w:bCs/>
          <w:highlight w:val="none"/>
          <w:lang w:val="en-US" w:eastAsia="zh-CN"/>
        </w:rPr>
        <w:t xml:space="preserve">               </w:t>
      </w:r>
      <w:r>
        <w:rPr>
          <w:b/>
          <w:bCs/>
          <w:highlight w:val="none"/>
        </w:rPr>
        <w:t>表 6 专业（学科）竞赛、科研创新赋分标准（单位：分）</w:t>
      </w:r>
    </w:p>
    <w:tbl>
      <w:tblPr>
        <w:tblStyle w:val="10"/>
        <w:tblW w:w="8450" w:type="dxa"/>
        <w:jc w:val="center"/>
        <w:tblLayout w:type="autofit"/>
        <w:tblCellMar>
          <w:top w:w="101" w:type="dxa"/>
          <w:left w:w="116" w:type="dxa"/>
          <w:bottom w:w="0" w:type="dxa"/>
          <w:right w:w="104" w:type="dxa"/>
        </w:tblCellMar>
      </w:tblPr>
      <w:tblGrid>
        <w:gridCol w:w="3650"/>
        <w:gridCol w:w="1560"/>
        <w:gridCol w:w="1070"/>
        <w:gridCol w:w="730"/>
        <w:gridCol w:w="710"/>
        <w:gridCol w:w="730"/>
      </w:tblGrid>
      <w:tr>
        <w:tblPrEx>
          <w:tblCellMar>
            <w:top w:w="101" w:type="dxa"/>
            <w:left w:w="116" w:type="dxa"/>
            <w:bottom w:w="0" w:type="dxa"/>
            <w:right w:w="104" w:type="dxa"/>
          </w:tblCellMar>
        </w:tblPrEx>
        <w:trPr>
          <w:trHeight w:val="328" w:hRule="atLeast"/>
          <w:jc w:val="center"/>
        </w:trPr>
        <w:tc>
          <w:tcPr>
            <w:tcW w:w="365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5" w:firstLine="0"/>
              <w:jc w:val="center"/>
              <w:rPr>
                <w:b/>
                <w:bCs/>
                <w:highlight w:val="none"/>
              </w:rPr>
            </w:pPr>
            <w:r>
              <w:rPr>
                <w:b/>
                <w:bCs/>
                <w:sz w:val="22"/>
                <w:highlight w:val="none"/>
              </w:rPr>
              <w:t>项目</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center"/>
              <w:rPr>
                <w:b/>
                <w:bCs/>
                <w:highlight w:val="none"/>
              </w:rPr>
            </w:pPr>
            <w:r>
              <w:rPr>
                <w:b/>
                <w:bCs/>
                <w:highlight w:val="none"/>
              </w:rPr>
              <w:t>国家／国际级</w:t>
            </w:r>
          </w:p>
        </w:tc>
        <w:tc>
          <w:tcPr>
            <w:tcW w:w="107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 w:right="0" w:firstLine="0"/>
              <w:jc w:val="center"/>
              <w:rPr>
                <w:b/>
                <w:bCs/>
                <w:highlight w:val="none"/>
              </w:rPr>
            </w:pPr>
            <w:r>
              <w:rPr>
                <w:b/>
                <w:bCs/>
                <w:highlight w:val="none"/>
              </w:rPr>
              <w:t>省／部级</w:t>
            </w:r>
          </w:p>
        </w:tc>
        <w:tc>
          <w:tcPr>
            <w:tcW w:w="73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37" w:right="0" w:firstLine="0"/>
              <w:jc w:val="center"/>
              <w:rPr>
                <w:b/>
                <w:bCs/>
                <w:highlight w:val="none"/>
              </w:rPr>
            </w:pPr>
            <w:r>
              <w:rPr>
                <w:b/>
                <w:bCs/>
                <w:highlight w:val="none"/>
              </w:rPr>
              <w:t>市级</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60" w:right="0" w:firstLine="0"/>
              <w:jc w:val="center"/>
              <w:rPr>
                <w:b/>
                <w:bCs/>
                <w:highlight w:val="none"/>
              </w:rPr>
            </w:pPr>
            <w:r>
              <w:rPr>
                <w:b/>
                <w:bCs/>
                <w:highlight w:val="none"/>
              </w:rPr>
              <w:t>校级</w:t>
            </w:r>
          </w:p>
        </w:tc>
        <w:tc>
          <w:tcPr>
            <w:tcW w:w="73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41" w:right="0" w:firstLine="0"/>
              <w:jc w:val="center"/>
              <w:rPr>
                <w:b/>
                <w:bCs/>
                <w:highlight w:val="none"/>
              </w:rPr>
            </w:pPr>
            <w:r>
              <w:rPr>
                <w:b/>
                <w:bCs/>
                <w:highlight w:val="none"/>
              </w:rPr>
              <w:t>院级</w:t>
            </w:r>
          </w:p>
        </w:tc>
      </w:tr>
      <w:tr>
        <w:tblPrEx>
          <w:tblCellMar>
            <w:top w:w="101" w:type="dxa"/>
            <w:left w:w="116" w:type="dxa"/>
            <w:bottom w:w="0" w:type="dxa"/>
            <w:right w:w="104" w:type="dxa"/>
          </w:tblCellMar>
        </w:tblPrEx>
        <w:trPr>
          <w:trHeight w:val="279"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highlight w:val="none"/>
              </w:rPr>
            </w:pPr>
            <w:r>
              <w:rPr>
                <w:highlight w:val="none"/>
              </w:rPr>
              <w:t>竞赛一等奖（金奖）</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0" w:firstLine="0"/>
              <w:jc w:val="center"/>
              <w:rPr>
                <w:highlight w:val="none"/>
              </w:rPr>
            </w:pPr>
            <w:r>
              <w:rPr>
                <w:highlight w:val="none"/>
              </w:rPr>
              <w:t>10</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8</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6</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4</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2</w:t>
            </w:r>
          </w:p>
        </w:tc>
      </w:tr>
      <w:tr>
        <w:tblPrEx>
          <w:tblCellMar>
            <w:top w:w="101" w:type="dxa"/>
            <w:left w:w="116" w:type="dxa"/>
            <w:bottom w:w="0" w:type="dxa"/>
            <w:right w:w="104" w:type="dxa"/>
          </w:tblCellMar>
        </w:tblPrEx>
        <w:trPr>
          <w:trHeight w:val="279"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highlight w:val="none"/>
              </w:rPr>
            </w:pPr>
            <w:r>
              <w:rPr>
                <w:highlight w:val="none"/>
              </w:rPr>
              <w:t>竞赛二等奖（银奖）</w:t>
            </w:r>
          </w:p>
        </w:tc>
        <w:tc>
          <w:tcPr>
            <w:tcW w:w="156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8</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6</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4</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2</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1</w:t>
            </w:r>
          </w:p>
        </w:tc>
      </w:tr>
      <w:tr>
        <w:tblPrEx>
          <w:tblCellMar>
            <w:top w:w="101" w:type="dxa"/>
            <w:left w:w="116" w:type="dxa"/>
            <w:bottom w:w="0" w:type="dxa"/>
            <w:right w:w="104" w:type="dxa"/>
          </w:tblCellMar>
        </w:tblPrEx>
        <w:trPr>
          <w:trHeight w:val="90"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highlight w:val="none"/>
              </w:rPr>
            </w:pPr>
            <w:r>
              <w:rPr>
                <w:highlight w:val="none"/>
              </w:rPr>
              <w:t>竞赛三等奖（铜奖）</w:t>
            </w:r>
          </w:p>
        </w:tc>
        <w:tc>
          <w:tcPr>
            <w:tcW w:w="156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6</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4</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2</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1</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9" w:right="0" w:firstLine="0"/>
              <w:jc w:val="center"/>
              <w:rPr>
                <w:highlight w:val="none"/>
              </w:rPr>
            </w:pPr>
            <w:r>
              <w:rPr>
                <w:highlight w:val="none"/>
              </w:rPr>
              <w:t>—</w:t>
            </w:r>
          </w:p>
        </w:tc>
      </w:tr>
      <w:tr>
        <w:trPr>
          <w:trHeight w:val="349"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highlight w:val="none"/>
              </w:rPr>
            </w:pPr>
            <w:r>
              <w:rPr>
                <w:highlight w:val="none"/>
              </w:rPr>
              <w:t>竞赛优秀／鼓励／入围／优胜奖等</w:t>
            </w:r>
          </w:p>
        </w:tc>
        <w:tc>
          <w:tcPr>
            <w:tcW w:w="156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2</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1</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3" w:right="0" w:firstLine="0"/>
              <w:jc w:val="center"/>
              <w:rPr>
                <w:highlight w:val="none"/>
              </w:rPr>
            </w:pPr>
            <w:r>
              <w:rPr>
                <w:highlight w:val="none"/>
              </w:rPr>
              <w:t>—</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166" w:right="0" w:firstLine="0"/>
              <w:jc w:val="center"/>
              <w:rPr>
                <w:highlight w:val="none"/>
              </w:rPr>
            </w:pPr>
            <w:r>
              <w:rPr>
                <w:highlight w:val="none"/>
              </w:rPr>
              <w:t>—</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9" w:right="0" w:firstLine="0"/>
              <w:jc w:val="center"/>
              <w:rPr>
                <w:highlight w:val="none"/>
              </w:rPr>
            </w:pPr>
            <w:r>
              <w:rPr>
                <w:highlight w:val="none"/>
              </w:rPr>
              <w:t>—</w:t>
            </w:r>
          </w:p>
        </w:tc>
      </w:tr>
      <w:tr>
        <w:tblPrEx>
          <w:tblCellMar>
            <w:top w:w="101" w:type="dxa"/>
            <w:left w:w="116" w:type="dxa"/>
            <w:bottom w:w="0" w:type="dxa"/>
            <w:right w:w="104" w:type="dxa"/>
          </w:tblCellMar>
        </w:tblPrEx>
        <w:trPr>
          <w:trHeight w:val="329"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rFonts w:hint="default" w:eastAsia="宋体"/>
                <w:highlight w:val="red"/>
                <w:lang w:val="en-US" w:eastAsia="zh-CN"/>
              </w:rPr>
            </w:pPr>
            <w:r>
              <w:rPr>
                <w:color w:val="000000" w:themeColor="text1"/>
                <w:highlight w:val="none"/>
                <w14:textFill>
                  <w14:solidFill>
                    <w14:schemeClr w14:val="tx1"/>
                  </w14:solidFill>
                </w14:textFill>
              </w:rPr>
              <w:t>大创项目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结题）</w:t>
            </w:r>
          </w:p>
        </w:tc>
        <w:tc>
          <w:tcPr>
            <w:tcW w:w="156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5</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4</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3</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2</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9" w:right="0" w:firstLine="0"/>
              <w:jc w:val="center"/>
              <w:rPr>
                <w:highlight w:val="none"/>
              </w:rPr>
            </w:pPr>
            <w:r>
              <w:rPr>
                <w:highlight w:val="none"/>
              </w:rPr>
              <w:t>—</w:t>
            </w:r>
          </w:p>
        </w:tc>
      </w:tr>
      <w:tr>
        <w:trPr>
          <w:trHeight w:val="379"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rFonts w:hint="default" w:eastAsia="宋体"/>
                <w:highlight w:val="red"/>
                <w:lang w:val="en-US" w:eastAsia="zh-CN"/>
              </w:rPr>
            </w:pPr>
            <w:r>
              <w:rPr>
                <w:color w:val="000000" w:themeColor="text1"/>
                <w:highlight w:val="none"/>
                <w14:textFill>
                  <w14:solidFill>
                    <w14:schemeClr w14:val="tx1"/>
                  </w14:solidFill>
                </w14:textFill>
              </w:rPr>
              <w:t>科研立项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结题）</w:t>
            </w:r>
          </w:p>
        </w:tc>
        <w:tc>
          <w:tcPr>
            <w:tcW w:w="156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5</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4</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3</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highlight w:val="none"/>
              </w:rPr>
            </w:pPr>
            <w:r>
              <w:rPr>
                <w:highlight w:val="none"/>
              </w:rPr>
              <w:t>2</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9" w:right="0" w:firstLine="0"/>
              <w:jc w:val="center"/>
              <w:rPr>
                <w:highlight w:val="none"/>
              </w:rPr>
            </w:pPr>
            <w:r>
              <w:rPr>
                <w:highlight w:val="none"/>
              </w:rPr>
              <w:t>—</w:t>
            </w:r>
          </w:p>
        </w:tc>
      </w:tr>
      <w:tr>
        <w:tblPrEx>
          <w:tblCellMar>
            <w:top w:w="101" w:type="dxa"/>
            <w:left w:w="116" w:type="dxa"/>
            <w:bottom w:w="0" w:type="dxa"/>
            <w:right w:w="104" w:type="dxa"/>
          </w:tblCellMar>
        </w:tblPrEx>
        <w:trPr>
          <w:trHeight w:val="199"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highlight w:val="none"/>
              </w:rPr>
            </w:pPr>
            <w:r>
              <w:rPr>
                <w:highlight w:val="none"/>
              </w:rPr>
              <w:t>国家发明专利（证书）</w:t>
            </w:r>
          </w:p>
        </w:tc>
        <w:tc>
          <w:tcPr>
            <w:tcW w:w="156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5</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7" w:firstLine="0"/>
              <w:jc w:val="center"/>
              <w:rPr>
                <w:highlight w:val="none"/>
              </w:rPr>
            </w:pPr>
            <w:r>
              <w:rPr>
                <w:highlight w:val="none"/>
              </w:rPr>
              <w:t>—</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3" w:right="0" w:firstLine="0"/>
              <w:jc w:val="center"/>
              <w:rPr>
                <w:highlight w:val="none"/>
              </w:rPr>
            </w:pPr>
            <w:r>
              <w:rPr>
                <w:highlight w:val="none"/>
              </w:rPr>
              <w:t>—</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166" w:right="0" w:firstLine="0"/>
              <w:jc w:val="center"/>
              <w:rPr>
                <w:highlight w:val="none"/>
              </w:rPr>
            </w:pPr>
            <w:r>
              <w:rPr>
                <w:highlight w:val="none"/>
              </w:rPr>
              <w:t>—</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9" w:right="0" w:firstLine="0"/>
              <w:jc w:val="center"/>
              <w:rPr>
                <w:highlight w:val="none"/>
              </w:rPr>
            </w:pPr>
            <w:r>
              <w:rPr>
                <w:highlight w:val="none"/>
              </w:rPr>
              <w:t>—</w:t>
            </w:r>
          </w:p>
        </w:tc>
      </w:tr>
      <w:tr>
        <w:tblPrEx>
          <w:tblCellMar>
            <w:top w:w="101" w:type="dxa"/>
            <w:left w:w="116" w:type="dxa"/>
            <w:bottom w:w="0" w:type="dxa"/>
            <w:right w:w="104" w:type="dxa"/>
          </w:tblCellMar>
        </w:tblPrEx>
        <w:trPr>
          <w:trHeight w:val="339" w:hRule="atLeast"/>
          <w:jc w:val="center"/>
        </w:trPr>
        <w:tc>
          <w:tcPr>
            <w:tcW w:w="3650" w:type="dxa"/>
            <w:tcBorders>
              <w:top w:val="single" w:color="000000" w:sz="4" w:space="0"/>
              <w:left w:val="single" w:color="000000" w:sz="4" w:space="0"/>
              <w:bottom w:val="single" w:color="000000" w:sz="4" w:space="0"/>
              <w:right w:val="single" w:color="000000" w:sz="4" w:space="0"/>
            </w:tcBorders>
          </w:tcPr>
          <w:p>
            <w:pPr>
              <w:spacing w:after="0" w:line="360" w:lineRule="auto"/>
              <w:ind w:left="204" w:right="0" w:firstLine="0"/>
              <w:jc w:val="left"/>
              <w:rPr>
                <w:highlight w:val="none"/>
              </w:rPr>
            </w:pPr>
            <w:r>
              <w:rPr>
                <w:highlight w:val="none"/>
              </w:rPr>
              <w:t>实用新型和外观设计专利（证书）</w:t>
            </w:r>
          </w:p>
        </w:tc>
        <w:tc>
          <w:tcPr>
            <w:tcW w:w="1560"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highlight w:val="none"/>
              </w:rPr>
            </w:pPr>
            <w:r>
              <w:rPr>
                <w:highlight w:val="none"/>
              </w:rPr>
              <w:t>3</w:t>
            </w:r>
          </w:p>
        </w:tc>
        <w:tc>
          <w:tcPr>
            <w:tcW w:w="1070" w:type="dxa"/>
            <w:tcBorders>
              <w:top w:val="single" w:color="000000" w:sz="4" w:space="0"/>
              <w:left w:val="single" w:color="000000" w:sz="4" w:space="0"/>
              <w:bottom w:val="single" w:color="000000" w:sz="4" w:space="0"/>
              <w:right w:val="single" w:color="000000" w:sz="4" w:space="0"/>
            </w:tcBorders>
          </w:tcPr>
          <w:p>
            <w:pPr>
              <w:spacing w:after="0" w:line="360" w:lineRule="auto"/>
              <w:ind w:left="0" w:right="7" w:firstLine="0"/>
              <w:jc w:val="center"/>
              <w:rPr>
                <w:highlight w:val="none"/>
              </w:rPr>
            </w:pPr>
            <w:r>
              <w:rPr>
                <w:highlight w:val="none"/>
              </w:rPr>
              <w:t>—</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3" w:right="0" w:firstLine="0"/>
              <w:jc w:val="center"/>
              <w:rPr>
                <w:highlight w:val="none"/>
              </w:rPr>
            </w:pPr>
            <w:r>
              <w:rPr>
                <w:highlight w:val="none"/>
              </w:rPr>
              <w:t>—</w:t>
            </w:r>
          </w:p>
        </w:tc>
        <w:tc>
          <w:tcPr>
            <w:tcW w:w="710" w:type="dxa"/>
            <w:tcBorders>
              <w:top w:val="single" w:color="000000" w:sz="4" w:space="0"/>
              <w:left w:val="single" w:color="000000" w:sz="4" w:space="0"/>
              <w:bottom w:val="single" w:color="000000" w:sz="4" w:space="0"/>
              <w:right w:val="single" w:color="000000" w:sz="4" w:space="0"/>
            </w:tcBorders>
          </w:tcPr>
          <w:p>
            <w:pPr>
              <w:spacing w:after="0" w:line="360" w:lineRule="auto"/>
              <w:ind w:left="166" w:right="0" w:firstLine="0"/>
              <w:jc w:val="center"/>
              <w:rPr>
                <w:highlight w:val="none"/>
              </w:rPr>
            </w:pPr>
            <w:r>
              <w:rPr>
                <w:highlight w:val="none"/>
              </w:rPr>
              <w:t>—</w:t>
            </w:r>
          </w:p>
        </w:tc>
        <w:tc>
          <w:tcPr>
            <w:tcW w:w="730" w:type="dxa"/>
            <w:tcBorders>
              <w:top w:val="single" w:color="000000" w:sz="4" w:space="0"/>
              <w:left w:val="single" w:color="000000" w:sz="4" w:space="0"/>
              <w:bottom w:val="single" w:color="000000" w:sz="4" w:space="0"/>
              <w:right w:val="single" w:color="000000" w:sz="4" w:space="0"/>
            </w:tcBorders>
          </w:tcPr>
          <w:p>
            <w:pPr>
              <w:spacing w:after="0" w:line="360" w:lineRule="auto"/>
              <w:ind w:left="149" w:right="0" w:firstLine="0"/>
              <w:jc w:val="center"/>
              <w:rPr>
                <w:highlight w:val="none"/>
              </w:rPr>
            </w:pPr>
            <w:r>
              <w:rPr>
                <w:highlight w:val="none"/>
              </w:rPr>
              <w:t>—</w:t>
            </w:r>
          </w:p>
        </w:tc>
      </w:tr>
    </w:tbl>
    <w:p>
      <w:pPr>
        <w:spacing w:after="114" w:line="360" w:lineRule="auto"/>
        <w:ind w:left="0" w:leftChars="0" w:right="13" w:firstLine="0" w:firstLineChars="0"/>
        <w:rPr>
          <w:highlight w:val="none"/>
        </w:rPr>
      </w:pPr>
    </w:p>
    <w:p>
      <w:pPr>
        <w:spacing w:after="114" w:line="360" w:lineRule="auto"/>
        <w:ind w:left="0" w:leftChars="0" w:right="13" w:firstLine="0" w:firstLineChars="0"/>
        <w:rPr>
          <w:sz w:val="28"/>
          <w:szCs w:val="28"/>
          <w:highlight w:val="none"/>
        </w:rPr>
      </w:pPr>
      <w:r>
        <w:rPr>
          <w:sz w:val="28"/>
          <w:szCs w:val="28"/>
          <w:highlight w:val="none"/>
        </w:rPr>
        <w:t>赋分说明：</w:t>
      </w:r>
    </w:p>
    <w:p>
      <w:pPr>
        <w:spacing w:after="114" w:line="360" w:lineRule="auto"/>
        <w:ind w:left="0" w:leftChars="0" w:right="13" w:firstLine="560" w:firstLineChars="200"/>
        <w:rPr>
          <w:sz w:val="28"/>
          <w:szCs w:val="28"/>
          <w:highlight w:val="none"/>
        </w:rPr>
      </w:pPr>
      <w:r>
        <w:rPr>
          <w:rFonts w:hint="eastAsia"/>
          <w:sz w:val="28"/>
          <w:szCs w:val="28"/>
          <w:highlight w:val="none"/>
        </w:rPr>
        <w:t>（1）</w:t>
      </w:r>
      <w:r>
        <w:rPr>
          <w:sz w:val="28"/>
          <w:szCs w:val="28"/>
          <w:highlight w:val="none"/>
        </w:rPr>
        <w:t>专业（学科）竞赛，原则上是指政府部门、事业单位举办的各类学科竞赛活动。如各行业协会举办的各类学科竞赛（含网络比赛）的获奖得分原则上参考省（部）级分数减半计分；如能明确其属于其他级别的，需提供证明材料，由学院教授委员会认定后，可参考相应级别加分。</w:t>
      </w:r>
    </w:p>
    <w:p>
      <w:pPr>
        <w:spacing w:line="360" w:lineRule="auto"/>
        <w:ind w:left="0" w:right="13" w:firstLine="560" w:firstLineChars="200"/>
        <w:rPr>
          <w:rFonts w:hint="eastAsia"/>
          <w:sz w:val="28"/>
          <w:szCs w:val="28"/>
          <w:highlight w:val="none"/>
          <w:lang w:eastAsia="zh-CN"/>
        </w:rPr>
      </w:pPr>
      <w:r>
        <w:rPr>
          <w:rFonts w:hint="eastAsia"/>
          <w:sz w:val="28"/>
          <w:szCs w:val="28"/>
          <w:highlight w:val="none"/>
        </w:rPr>
        <w:t>（2）</w:t>
      </w:r>
      <w:r>
        <w:rPr>
          <w:sz w:val="28"/>
          <w:szCs w:val="28"/>
          <w:highlight w:val="none"/>
        </w:rPr>
        <w:t>团体竞赛奖项：主要参加者（主持人）按照获得相应奖项得分，一般参加者加分减半；如果不区分排名，参加者均按照所获奖项得分</w:t>
      </w:r>
      <w:r>
        <w:rPr>
          <w:rFonts w:hint="eastAsia"/>
          <w:sz w:val="28"/>
          <w:szCs w:val="28"/>
          <w:highlight w:val="none"/>
          <w:lang w:eastAsia="zh-CN"/>
        </w:rPr>
        <w:t>。</w:t>
      </w:r>
    </w:p>
    <w:p>
      <w:pPr>
        <w:spacing w:line="360" w:lineRule="auto"/>
        <w:ind w:left="0" w:right="13" w:firstLine="560" w:firstLineChars="200"/>
        <w:rPr>
          <w:sz w:val="28"/>
          <w:szCs w:val="28"/>
          <w:highlight w:val="none"/>
        </w:rPr>
      </w:pPr>
      <w:r>
        <w:rPr>
          <w:rFonts w:hint="eastAsia"/>
          <w:sz w:val="28"/>
          <w:szCs w:val="28"/>
          <w:highlight w:val="none"/>
        </w:rPr>
        <w:t>（3）</w:t>
      </w:r>
      <w:r>
        <w:rPr>
          <w:sz w:val="28"/>
          <w:szCs w:val="28"/>
          <w:highlight w:val="none"/>
        </w:rPr>
        <w:t>各类竞赛活动，如每项比赛有多个环节的，只能计分一次，取最高成绩计分，不可叠加计分。</w:t>
      </w:r>
    </w:p>
    <w:p>
      <w:pPr>
        <w:spacing w:line="360" w:lineRule="auto"/>
        <w:ind w:left="0" w:right="13" w:firstLine="560" w:firstLineChars="200"/>
        <w:rPr>
          <w:rFonts w:hint="eastAsia" w:eastAsia="宋体"/>
          <w:sz w:val="28"/>
          <w:szCs w:val="28"/>
          <w:highlight w:val="none"/>
          <w:lang w:eastAsia="zh-CN"/>
        </w:rPr>
      </w:pPr>
      <w:r>
        <w:rPr>
          <w:rFonts w:hint="eastAsia"/>
          <w:sz w:val="28"/>
          <w:szCs w:val="28"/>
          <w:highlight w:val="none"/>
        </w:rPr>
        <w:t>（4）</w:t>
      </w:r>
      <w:r>
        <w:rPr>
          <w:sz w:val="28"/>
          <w:szCs w:val="28"/>
          <w:highlight w:val="none"/>
        </w:rPr>
        <w:t>科研立项、大创项目：主要参加者（主持人）按照对应级别得分，一般参加者</w:t>
      </w:r>
      <w:r>
        <w:rPr>
          <w:rFonts w:hint="eastAsia"/>
          <w:sz w:val="28"/>
          <w:szCs w:val="28"/>
          <w:highlight w:val="none"/>
          <w:lang w:eastAsia="zh-CN"/>
        </w:rPr>
        <w:t>（</w:t>
      </w:r>
      <w:r>
        <w:rPr>
          <w:sz w:val="28"/>
          <w:szCs w:val="28"/>
          <w:highlight w:val="none"/>
        </w:rPr>
        <w:t>原则上不超过 5 人</w:t>
      </w:r>
      <w:r>
        <w:rPr>
          <w:rFonts w:hint="eastAsia"/>
          <w:sz w:val="28"/>
          <w:szCs w:val="28"/>
          <w:highlight w:val="none"/>
          <w:lang w:eastAsia="zh-CN"/>
        </w:rPr>
        <w:t>）</w:t>
      </w:r>
      <w:r>
        <w:rPr>
          <w:sz w:val="28"/>
          <w:szCs w:val="28"/>
          <w:highlight w:val="none"/>
        </w:rPr>
        <w:t>国家级 2 分，省级 1 分，校级 0.5 分。</w:t>
      </w:r>
    </w:p>
    <w:p>
      <w:pPr>
        <w:spacing w:line="360" w:lineRule="auto"/>
        <w:ind w:left="0" w:right="13" w:firstLine="560" w:firstLineChars="200"/>
        <w:rPr>
          <w:sz w:val="28"/>
          <w:szCs w:val="28"/>
          <w:highlight w:val="none"/>
        </w:rPr>
      </w:pPr>
      <w:r>
        <w:rPr>
          <w:rFonts w:hint="eastAsia"/>
          <w:sz w:val="28"/>
          <w:szCs w:val="28"/>
          <w:highlight w:val="none"/>
        </w:rPr>
        <w:t>（</w:t>
      </w:r>
      <w:r>
        <w:rPr>
          <w:rFonts w:hint="eastAsia"/>
          <w:sz w:val="28"/>
          <w:szCs w:val="28"/>
          <w:highlight w:val="none"/>
          <w:lang w:val="en-US" w:eastAsia="zh-CN"/>
        </w:rPr>
        <w:t>5</w:t>
      </w:r>
      <w:r>
        <w:rPr>
          <w:rFonts w:hint="eastAsia"/>
          <w:sz w:val="28"/>
          <w:szCs w:val="28"/>
          <w:highlight w:val="none"/>
        </w:rPr>
        <w:t>）</w:t>
      </w:r>
      <w:r>
        <w:rPr>
          <w:sz w:val="28"/>
          <w:szCs w:val="28"/>
          <w:highlight w:val="none"/>
        </w:rPr>
        <w:t>专业（学科）竞赛、师范类教师教育竞赛、大创项目、科研立项以及国家专利核定标准参照学校相关职能部门的标准执行，其专业性质由学院教授委员会认定。</w:t>
      </w:r>
      <w:r>
        <w:rPr>
          <w:rFonts w:hint="eastAsia"/>
          <w:sz w:val="28"/>
          <w:szCs w:val="28"/>
          <w:highlight w:val="none"/>
          <w:lang w:val="en-US" w:eastAsia="zh-CN"/>
        </w:rPr>
        <w:t>同一竞赛，</w:t>
      </w:r>
      <w:r>
        <w:rPr>
          <w:sz w:val="28"/>
          <w:szCs w:val="28"/>
          <w:highlight w:val="none"/>
          <w:lang w:val="en-US"/>
        </w:rPr>
        <w:t>学生以专业（学科）竞赛非负责人（非主持人）身份申请认定加分</w:t>
      </w:r>
      <w:r>
        <w:rPr>
          <w:rFonts w:hint="eastAsia"/>
          <w:sz w:val="28"/>
          <w:szCs w:val="28"/>
          <w:highlight w:val="none"/>
          <w:lang w:val="en-US" w:eastAsia="zh-CN"/>
        </w:rPr>
        <w:t>次数至多两次</w:t>
      </w:r>
      <w:r>
        <w:rPr>
          <w:sz w:val="28"/>
          <w:szCs w:val="28"/>
          <w:highlight w:val="none"/>
          <w:lang w:val="en-US"/>
        </w:rPr>
        <w:t>。</w:t>
      </w:r>
    </w:p>
    <w:p>
      <w:pPr>
        <w:spacing w:after="133" w:line="360" w:lineRule="auto"/>
        <w:ind w:left="210" w:leftChars="100" w:right="249" w:firstLine="548" w:firstLineChars="195"/>
        <w:jc w:val="both"/>
        <w:rPr>
          <w:sz w:val="28"/>
          <w:szCs w:val="28"/>
          <w:highlight w:val="none"/>
        </w:rPr>
      </w:pPr>
      <w:r>
        <w:rPr>
          <w:b/>
          <w:bCs/>
          <w:sz w:val="28"/>
          <w:szCs w:val="28"/>
          <w:highlight w:val="none"/>
        </w:rPr>
        <w:t>第十条</w:t>
      </w:r>
      <w:r>
        <w:rPr>
          <w:rFonts w:hint="eastAsia"/>
          <w:b/>
          <w:bCs/>
          <w:sz w:val="28"/>
          <w:szCs w:val="28"/>
          <w:highlight w:val="none"/>
          <w:lang w:val="en-US" w:eastAsia="zh-CN"/>
        </w:rPr>
        <w:t xml:space="preserve"> </w:t>
      </w:r>
      <w:r>
        <w:rPr>
          <w:b w:val="0"/>
          <w:bCs w:val="0"/>
          <w:sz w:val="28"/>
          <w:szCs w:val="28"/>
          <w:highlight w:val="none"/>
        </w:rPr>
        <w:t>文体测评。</w:t>
      </w:r>
      <w:r>
        <w:rPr>
          <w:sz w:val="28"/>
          <w:szCs w:val="28"/>
          <w:highlight w:val="none"/>
        </w:rPr>
        <w:t>文体测评主要评价学生在艺术、体育、文化活动中的表现及成绩，由文体测评基础分、文体测评奖励分和文体测评扣分组成，满分为 100 分。其中，基础分满分为50 分，奖励分满分为 50 分。</w:t>
      </w:r>
    </w:p>
    <w:p>
      <w:pPr>
        <w:numPr>
          <w:ilvl w:val="0"/>
          <w:numId w:val="0"/>
        </w:numPr>
        <w:spacing w:after="117" w:line="360" w:lineRule="auto"/>
        <w:ind w:leftChars="0" w:right="13" w:rightChars="0"/>
        <w:rPr>
          <w:sz w:val="28"/>
          <w:szCs w:val="28"/>
          <w:highlight w:val="none"/>
        </w:rPr>
      </w:pPr>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sz w:val="28"/>
          <w:szCs w:val="28"/>
          <w:highlight w:val="none"/>
        </w:rPr>
        <w:t>文体测评基础分</w:t>
      </w:r>
    </w:p>
    <w:p>
      <w:pPr>
        <w:spacing w:after="114" w:line="360" w:lineRule="auto"/>
        <w:ind w:left="210" w:leftChars="100" w:right="13" w:firstLine="546" w:firstLineChars="195"/>
        <w:rPr>
          <w:sz w:val="28"/>
          <w:szCs w:val="28"/>
          <w:highlight w:val="none"/>
        </w:rPr>
      </w:pPr>
      <w:r>
        <w:rPr>
          <w:sz w:val="28"/>
          <w:szCs w:val="28"/>
          <w:highlight w:val="none"/>
        </w:rPr>
        <w:t>1.能够积极参加校院和班级的文化活动，善于开拓创新，勇于提升自我，具有团队意识。</w:t>
      </w:r>
    </w:p>
    <w:p>
      <w:pPr>
        <w:spacing w:after="114" w:line="360" w:lineRule="auto"/>
        <w:ind w:left="210" w:leftChars="100" w:right="13" w:firstLine="546" w:firstLineChars="195"/>
        <w:rPr>
          <w:sz w:val="28"/>
          <w:szCs w:val="28"/>
          <w:highlight w:val="none"/>
        </w:rPr>
      </w:pPr>
      <w:r>
        <w:rPr>
          <w:sz w:val="28"/>
          <w:szCs w:val="28"/>
          <w:highlight w:val="none"/>
        </w:rPr>
        <w:t>2.能够认真出勤早操，养成良好锻炼习惯和健康生活方式，锤炼坚强意志，具有合作精神。</w:t>
      </w:r>
    </w:p>
    <w:p>
      <w:pPr>
        <w:spacing w:after="114" w:line="360" w:lineRule="auto"/>
        <w:ind w:left="210" w:leftChars="100" w:right="13" w:firstLine="546" w:firstLineChars="195"/>
        <w:rPr>
          <w:sz w:val="28"/>
          <w:szCs w:val="28"/>
          <w:highlight w:val="none"/>
        </w:rPr>
      </w:pPr>
      <w:r>
        <w:rPr>
          <w:sz w:val="28"/>
          <w:szCs w:val="28"/>
          <w:highlight w:val="none"/>
        </w:rPr>
        <w:t>3.能够自觉培养艺术爱好，提升艺术素养，具有感受美、表现美、鉴赏美、创造美的能力。</w:t>
      </w:r>
    </w:p>
    <w:p>
      <w:pPr>
        <w:spacing w:after="114" w:line="360" w:lineRule="auto"/>
        <w:ind w:right="13"/>
        <w:rPr>
          <w:sz w:val="28"/>
          <w:szCs w:val="28"/>
          <w:highlight w:val="none"/>
        </w:rPr>
      </w:pPr>
      <w:r>
        <w:rPr>
          <w:rFonts w:hint="eastAsia"/>
          <w:sz w:val="28"/>
          <w:szCs w:val="28"/>
          <w:highlight w:val="none"/>
          <w:lang w:eastAsia="zh-CN"/>
        </w:rPr>
        <w:t>（</w:t>
      </w:r>
      <w:r>
        <w:rPr>
          <w:rFonts w:hint="eastAsia"/>
          <w:sz w:val="28"/>
          <w:szCs w:val="28"/>
          <w:highlight w:val="none"/>
          <w:lang w:val="en-US" w:eastAsia="zh-CN"/>
        </w:rPr>
        <w:t>二</w:t>
      </w:r>
      <w:r>
        <w:rPr>
          <w:rFonts w:hint="eastAsia"/>
          <w:sz w:val="28"/>
          <w:szCs w:val="28"/>
          <w:highlight w:val="none"/>
          <w:lang w:eastAsia="zh-CN"/>
        </w:rPr>
        <w:t>）</w:t>
      </w:r>
      <w:r>
        <w:rPr>
          <w:sz w:val="28"/>
          <w:szCs w:val="28"/>
          <w:highlight w:val="none"/>
        </w:rPr>
        <w:t>文体测评奖励分</w:t>
      </w:r>
    </w:p>
    <w:p>
      <w:pPr>
        <w:spacing w:line="360" w:lineRule="auto"/>
        <w:ind w:left="210" w:leftChars="100" w:right="13" w:firstLine="546" w:firstLineChars="195"/>
        <w:rPr>
          <w:sz w:val="28"/>
          <w:szCs w:val="28"/>
          <w:highlight w:val="none"/>
        </w:rPr>
      </w:pPr>
      <w:r>
        <w:rPr>
          <w:sz w:val="28"/>
          <w:szCs w:val="28"/>
          <w:highlight w:val="none"/>
        </w:rPr>
        <w:t>文体测评奖励分，由体育奖励分、美育奖励分和文化奖励分组成，体育奖励分按照体育竞赛创新能力计分，美育奖励分按照美育展演创新能力计分，文化奖励分按照文化活动创新能力计分。</w:t>
      </w:r>
    </w:p>
    <w:p>
      <w:pPr>
        <w:numPr>
          <w:ilvl w:val="0"/>
          <w:numId w:val="1"/>
        </w:numPr>
        <w:spacing w:after="114" w:line="360" w:lineRule="auto"/>
        <w:ind w:right="13"/>
        <w:rPr>
          <w:sz w:val="28"/>
          <w:szCs w:val="28"/>
          <w:highlight w:val="none"/>
        </w:rPr>
      </w:pPr>
      <w:r>
        <w:rPr>
          <w:sz w:val="28"/>
          <w:szCs w:val="28"/>
          <w:highlight w:val="none"/>
        </w:rPr>
        <w:t>体育竞赛创新能力计分</w:t>
      </w:r>
    </w:p>
    <w:p>
      <w:pPr>
        <w:numPr>
          <w:numId w:val="0"/>
        </w:numPr>
        <w:spacing w:after="114" w:line="360" w:lineRule="auto"/>
        <w:ind w:leftChars="0" w:right="13" w:rightChars="0"/>
        <w:rPr>
          <w:sz w:val="28"/>
          <w:szCs w:val="28"/>
          <w:highlight w:val="none"/>
        </w:rPr>
      </w:pPr>
    </w:p>
    <w:p>
      <w:pPr>
        <w:spacing w:after="0" w:line="360" w:lineRule="auto"/>
        <w:ind w:left="190" w:right="394"/>
        <w:jc w:val="center"/>
        <w:rPr>
          <w:b/>
          <w:bCs/>
          <w:highlight w:val="none"/>
        </w:rPr>
      </w:pPr>
      <w:r>
        <w:rPr>
          <w:b/>
          <w:bCs/>
          <w:highlight w:val="none"/>
        </w:rPr>
        <w:t>表7体育竞赛获奖赋分标准（单位：分）</w:t>
      </w:r>
    </w:p>
    <w:tbl>
      <w:tblPr>
        <w:tblStyle w:val="10"/>
        <w:tblW w:w="8369" w:type="dxa"/>
        <w:tblInd w:w="-1" w:type="dxa"/>
        <w:tblLayout w:type="autofit"/>
        <w:tblCellMar>
          <w:top w:w="145" w:type="dxa"/>
          <w:left w:w="61" w:type="dxa"/>
          <w:bottom w:w="44" w:type="dxa"/>
          <w:right w:w="48" w:type="dxa"/>
        </w:tblCellMar>
      </w:tblPr>
      <w:tblGrid>
        <w:gridCol w:w="945"/>
        <w:gridCol w:w="1041"/>
        <w:gridCol w:w="764"/>
        <w:gridCol w:w="723"/>
        <w:gridCol w:w="725"/>
        <w:gridCol w:w="800"/>
        <w:gridCol w:w="625"/>
        <w:gridCol w:w="638"/>
        <w:gridCol w:w="700"/>
        <w:gridCol w:w="662"/>
        <w:gridCol w:w="746"/>
      </w:tblGrid>
      <w:tr>
        <w:tblPrEx>
          <w:tblCellMar>
            <w:top w:w="145" w:type="dxa"/>
            <w:left w:w="61" w:type="dxa"/>
            <w:bottom w:w="44" w:type="dxa"/>
            <w:right w:w="48" w:type="dxa"/>
          </w:tblCellMar>
        </w:tblPrEx>
        <w:trPr>
          <w:trHeight w:val="1264"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63" w:right="0" w:firstLine="0"/>
              <w:jc w:val="center"/>
              <w:rPr>
                <w:b/>
                <w:bCs/>
                <w:highlight w:val="none"/>
              </w:rPr>
            </w:pPr>
            <w:r>
              <w:rPr>
                <w:b/>
                <w:bCs/>
                <w:highlight w:val="none"/>
              </w:rPr>
              <w:t>级 别</w:t>
            </w:r>
          </w:p>
        </w:tc>
        <w:tc>
          <w:tcPr>
            <w:tcW w:w="1041" w:type="dxa"/>
            <w:tcBorders>
              <w:top w:val="single" w:color="000000" w:sz="4" w:space="0"/>
              <w:left w:val="single" w:color="000000" w:sz="4" w:space="0"/>
              <w:bottom w:val="single" w:color="000000" w:sz="4" w:space="0"/>
              <w:right w:val="single" w:color="000000" w:sz="4" w:space="0"/>
            </w:tcBorders>
            <w:vAlign w:val="center"/>
          </w:tcPr>
          <w:p>
            <w:pPr>
              <w:spacing w:after="109" w:line="360" w:lineRule="auto"/>
              <w:ind w:left="84" w:right="0" w:firstLine="0"/>
              <w:jc w:val="center"/>
              <w:rPr>
                <w:b/>
                <w:bCs/>
                <w:highlight w:val="none"/>
              </w:rPr>
            </w:pPr>
            <w:r>
              <w:rPr>
                <w:b/>
                <w:bCs/>
                <w:highlight w:val="none"/>
              </w:rPr>
              <w:t>破纪录</w:t>
            </w:r>
          </w:p>
          <w:p>
            <w:pPr>
              <w:spacing w:after="0" w:line="360" w:lineRule="auto"/>
              <w:ind w:left="0" w:right="0" w:firstLine="0"/>
              <w:jc w:val="center"/>
              <w:rPr>
                <w:b/>
                <w:bCs/>
                <w:highlight w:val="none"/>
              </w:rPr>
            </w:pPr>
            <w:r>
              <w:rPr>
                <w:b/>
                <w:bCs/>
                <w:sz w:val="16"/>
                <w:highlight w:val="none"/>
              </w:rPr>
              <w:t>（与名次加分叠加）</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19" w:right="122" w:firstLine="0"/>
              <w:jc w:val="center"/>
              <w:rPr>
                <w:b/>
                <w:bCs/>
                <w:highlight w:val="none"/>
              </w:rPr>
            </w:pPr>
            <w:r>
              <w:rPr>
                <w:b/>
                <w:bCs/>
                <w:highlight w:val="none"/>
              </w:rPr>
              <w:t>第一名</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97" w:right="103" w:firstLine="0"/>
              <w:jc w:val="center"/>
              <w:rPr>
                <w:b/>
                <w:bCs/>
                <w:highlight w:val="none"/>
              </w:rPr>
            </w:pPr>
            <w:r>
              <w:rPr>
                <w:b/>
                <w:bCs/>
                <w:highlight w:val="none"/>
              </w:rPr>
              <w:t>第二名</w:t>
            </w:r>
          </w:p>
        </w:tc>
        <w:tc>
          <w:tcPr>
            <w:tcW w:w="7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99" w:right="103" w:firstLine="0"/>
              <w:jc w:val="center"/>
              <w:rPr>
                <w:b/>
                <w:bCs/>
                <w:highlight w:val="none"/>
              </w:rPr>
            </w:pPr>
            <w:r>
              <w:rPr>
                <w:b/>
                <w:bCs/>
                <w:highlight w:val="none"/>
              </w:rPr>
              <w:t>第三名</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37" w:right="140" w:firstLine="0"/>
              <w:jc w:val="center"/>
              <w:rPr>
                <w:b/>
                <w:bCs/>
                <w:highlight w:val="none"/>
              </w:rPr>
            </w:pPr>
            <w:r>
              <w:rPr>
                <w:b/>
                <w:bCs/>
                <w:highlight w:val="none"/>
              </w:rPr>
              <w:t>第四名</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47" w:right="55" w:firstLine="0"/>
              <w:jc w:val="center"/>
              <w:rPr>
                <w:b/>
                <w:bCs/>
                <w:highlight w:val="none"/>
              </w:rPr>
            </w:pPr>
            <w:r>
              <w:rPr>
                <w:b/>
                <w:bCs/>
                <w:highlight w:val="none"/>
              </w:rPr>
              <w:t>第五名</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56" w:right="59" w:firstLine="0"/>
              <w:jc w:val="center"/>
              <w:rPr>
                <w:b/>
                <w:bCs/>
                <w:highlight w:val="none"/>
              </w:rPr>
            </w:pPr>
            <w:r>
              <w:rPr>
                <w:b/>
                <w:bCs/>
                <w:highlight w:val="none"/>
              </w:rPr>
              <w:t>第六名</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85" w:right="92" w:firstLine="0"/>
              <w:jc w:val="center"/>
              <w:rPr>
                <w:b/>
                <w:bCs/>
                <w:highlight w:val="none"/>
              </w:rPr>
            </w:pPr>
            <w:r>
              <w:rPr>
                <w:b/>
                <w:bCs/>
                <w:highlight w:val="none"/>
              </w:rPr>
              <w:t>第七名</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67" w:right="72" w:firstLine="0"/>
              <w:jc w:val="center"/>
              <w:rPr>
                <w:b/>
                <w:bCs/>
                <w:highlight w:val="none"/>
              </w:rPr>
            </w:pPr>
            <w:r>
              <w:rPr>
                <w:b/>
                <w:bCs/>
                <w:highlight w:val="none"/>
              </w:rPr>
              <w:t>第八名</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10" w:right="113" w:firstLine="0"/>
              <w:jc w:val="center"/>
              <w:rPr>
                <w:b/>
                <w:bCs/>
                <w:highlight w:val="none"/>
              </w:rPr>
            </w:pPr>
            <w:r>
              <w:rPr>
                <w:b/>
                <w:bCs/>
                <w:highlight w:val="none"/>
              </w:rPr>
              <w:t>参加者</w:t>
            </w:r>
          </w:p>
        </w:tc>
      </w:tr>
      <w:tr>
        <w:tblPrEx>
          <w:tblCellMar>
            <w:top w:w="145" w:type="dxa"/>
            <w:left w:w="61" w:type="dxa"/>
            <w:bottom w:w="44" w:type="dxa"/>
            <w:right w:w="48" w:type="dxa"/>
          </w:tblCellMar>
        </w:tblPrEx>
        <w:trPr>
          <w:trHeight w:val="469"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63" w:right="0" w:firstLine="0"/>
              <w:jc w:val="center"/>
              <w:rPr>
                <w:highlight w:val="none"/>
              </w:rPr>
            </w:pPr>
            <w:r>
              <w:rPr>
                <w:highlight w:val="none"/>
              </w:rPr>
              <w:t>国家级</w:t>
            </w:r>
          </w:p>
        </w:tc>
        <w:tc>
          <w:tcPr>
            <w:tcW w:w="104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right="0"/>
              <w:jc w:val="center"/>
              <w:rPr>
                <w:highlight w:val="none"/>
              </w:rPr>
            </w:pPr>
            <w:r>
              <w:rPr>
                <w:highlight w:val="none"/>
              </w:rPr>
              <w:t>20</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6" w:firstLine="0"/>
              <w:jc w:val="center"/>
              <w:rPr>
                <w:highlight w:val="none"/>
              </w:rPr>
            </w:pPr>
            <w:r>
              <w:rPr>
                <w:highlight w:val="none"/>
              </w:rPr>
              <w:t>30</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5" w:firstLine="0"/>
              <w:jc w:val="center"/>
              <w:rPr>
                <w:highlight w:val="none"/>
              </w:rPr>
            </w:pPr>
            <w:r>
              <w:rPr>
                <w:highlight w:val="none"/>
              </w:rPr>
              <w:t>24</w:t>
            </w:r>
          </w:p>
        </w:tc>
        <w:tc>
          <w:tcPr>
            <w:tcW w:w="7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3" w:firstLine="0"/>
              <w:jc w:val="center"/>
              <w:rPr>
                <w:highlight w:val="none"/>
              </w:rPr>
            </w:pPr>
            <w:r>
              <w:rPr>
                <w:highlight w:val="none"/>
              </w:rPr>
              <w:t>21</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2" w:firstLine="0"/>
              <w:jc w:val="center"/>
              <w:rPr>
                <w:highlight w:val="none"/>
              </w:rPr>
            </w:pPr>
            <w:r>
              <w:rPr>
                <w:highlight w:val="none"/>
              </w:rPr>
              <w:t>18</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6" w:firstLine="0"/>
              <w:jc w:val="center"/>
              <w:rPr>
                <w:highlight w:val="none"/>
              </w:rPr>
            </w:pPr>
            <w:r>
              <w:rPr>
                <w:highlight w:val="none"/>
              </w:rPr>
              <w:t>15</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2" w:firstLine="0"/>
              <w:jc w:val="center"/>
              <w:rPr>
                <w:highlight w:val="none"/>
              </w:rPr>
            </w:pPr>
            <w:r>
              <w:rPr>
                <w:highlight w:val="none"/>
              </w:rPr>
              <w:t>12</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9</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3" w:right="0" w:firstLine="0"/>
              <w:jc w:val="center"/>
              <w:rPr>
                <w:highlight w:val="none"/>
              </w:rPr>
            </w:pPr>
            <w:r>
              <w:rPr>
                <w:highlight w:val="none"/>
              </w:rPr>
              <w:t>6</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4</w:t>
            </w:r>
          </w:p>
        </w:tc>
      </w:tr>
      <w:tr>
        <w:tblPrEx>
          <w:tblCellMar>
            <w:top w:w="145" w:type="dxa"/>
            <w:left w:w="61" w:type="dxa"/>
            <w:bottom w:w="44" w:type="dxa"/>
            <w:right w:w="48" w:type="dxa"/>
          </w:tblCellMar>
        </w:tblPrEx>
        <w:trPr>
          <w:trHeight w:val="409"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69" w:right="0" w:firstLine="0"/>
              <w:jc w:val="both"/>
              <w:rPr>
                <w:highlight w:val="none"/>
              </w:rPr>
            </w:pPr>
            <w:r>
              <w:rPr>
                <w:highlight w:val="none"/>
              </w:rPr>
              <w:t>省级</w:t>
            </w:r>
          </w:p>
        </w:tc>
        <w:tc>
          <w:tcPr>
            <w:tcW w:w="104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right="0"/>
              <w:jc w:val="center"/>
              <w:rPr>
                <w:highlight w:val="none"/>
              </w:rPr>
            </w:pPr>
            <w:r>
              <w:rPr>
                <w:highlight w:val="none"/>
              </w:rPr>
              <w:t>15</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 w:firstLine="0"/>
              <w:jc w:val="center"/>
              <w:rPr>
                <w:highlight w:val="none"/>
              </w:rPr>
            </w:pPr>
            <w:r>
              <w:rPr>
                <w:highlight w:val="none"/>
              </w:rPr>
              <w:t>20</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5" w:firstLine="0"/>
              <w:jc w:val="center"/>
              <w:rPr>
                <w:highlight w:val="none"/>
              </w:rPr>
            </w:pPr>
            <w:r>
              <w:rPr>
                <w:highlight w:val="none"/>
              </w:rPr>
              <w:t>16</w:t>
            </w:r>
          </w:p>
        </w:tc>
        <w:tc>
          <w:tcPr>
            <w:tcW w:w="7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3" w:firstLine="0"/>
              <w:jc w:val="center"/>
              <w:rPr>
                <w:highlight w:val="none"/>
              </w:rPr>
            </w:pPr>
            <w:r>
              <w:rPr>
                <w:highlight w:val="none"/>
              </w:rPr>
              <w:t>14</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2" w:firstLine="0"/>
              <w:jc w:val="center"/>
              <w:rPr>
                <w:highlight w:val="none"/>
              </w:rPr>
            </w:pPr>
            <w:r>
              <w:rPr>
                <w:highlight w:val="none"/>
              </w:rPr>
              <w:t>12</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6" w:firstLine="0"/>
              <w:jc w:val="center"/>
              <w:rPr>
                <w:highlight w:val="none"/>
              </w:rPr>
            </w:pPr>
            <w:r>
              <w:rPr>
                <w:highlight w:val="none"/>
              </w:rPr>
              <w:t>10</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9" w:firstLine="0"/>
              <w:jc w:val="center"/>
              <w:rPr>
                <w:highlight w:val="none"/>
              </w:rPr>
            </w:pPr>
            <w:r>
              <w:rPr>
                <w:highlight w:val="none"/>
              </w:rPr>
              <w:t>8</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6</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3" w:right="0" w:firstLine="0"/>
              <w:jc w:val="center"/>
              <w:rPr>
                <w:highlight w:val="none"/>
              </w:rPr>
            </w:pPr>
            <w:r>
              <w:rPr>
                <w:highlight w:val="none"/>
              </w:rPr>
              <w:t>4</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2</w:t>
            </w:r>
          </w:p>
        </w:tc>
      </w:tr>
      <w:tr>
        <w:tblPrEx>
          <w:tblCellMar>
            <w:top w:w="145" w:type="dxa"/>
            <w:left w:w="61" w:type="dxa"/>
            <w:bottom w:w="44" w:type="dxa"/>
            <w:right w:w="48" w:type="dxa"/>
          </w:tblCellMar>
        </w:tblPrEx>
        <w:trPr>
          <w:trHeight w:val="41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69" w:right="0" w:firstLine="0"/>
              <w:jc w:val="both"/>
              <w:rPr>
                <w:highlight w:val="none"/>
              </w:rPr>
            </w:pPr>
            <w:r>
              <w:rPr>
                <w:highlight w:val="none"/>
              </w:rPr>
              <w:t>校级</w:t>
            </w:r>
          </w:p>
        </w:tc>
        <w:tc>
          <w:tcPr>
            <w:tcW w:w="104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right="0"/>
              <w:jc w:val="center"/>
              <w:rPr>
                <w:highlight w:val="none"/>
              </w:rPr>
            </w:pPr>
            <w:r>
              <w:rPr>
                <w:highlight w:val="none"/>
              </w:rPr>
              <w:t>10</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 w:firstLine="0"/>
              <w:jc w:val="center"/>
              <w:rPr>
                <w:highlight w:val="none"/>
              </w:rPr>
            </w:pPr>
            <w:r>
              <w:rPr>
                <w:highlight w:val="none"/>
              </w:rPr>
              <w:t>10</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7" w:firstLine="0"/>
              <w:jc w:val="center"/>
              <w:rPr>
                <w:highlight w:val="none"/>
              </w:rPr>
            </w:pPr>
            <w:r>
              <w:rPr>
                <w:highlight w:val="none"/>
              </w:rPr>
              <w:t>8</w:t>
            </w:r>
          </w:p>
        </w:tc>
        <w:tc>
          <w:tcPr>
            <w:tcW w:w="7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5" w:firstLine="0"/>
              <w:jc w:val="center"/>
              <w:rPr>
                <w:highlight w:val="none"/>
              </w:rPr>
            </w:pPr>
            <w:r>
              <w:rPr>
                <w:highlight w:val="none"/>
              </w:rPr>
              <w:t>7</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9" w:firstLine="0"/>
              <w:jc w:val="center"/>
              <w:rPr>
                <w:highlight w:val="none"/>
              </w:rPr>
            </w:pPr>
            <w:r>
              <w:rPr>
                <w:highlight w:val="none"/>
              </w:rPr>
              <w:t>6</w:t>
            </w:r>
          </w:p>
        </w:tc>
        <w:tc>
          <w:tcPr>
            <w:tcW w:w="6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5</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9" w:firstLine="0"/>
              <w:jc w:val="center"/>
              <w:rPr>
                <w:highlight w:val="none"/>
              </w:rPr>
            </w:pPr>
            <w:r>
              <w:rPr>
                <w:highlight w:val="none"/>
              </w:rPr>
              <w:t>4</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3</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3" w:right="0" w:firstLine="0"/>
              <w:jc w:val="center"/>
              <w:rPr>
                <w:highlight w:val="none"/>
              </w:rPr>
            </w:pPr>
            <w:r>
              <w:rPr>
                <w:highlight w:val="none"/>
              </w:rPr>
              <w:t>2</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1</w:t>
            </w:r>
          </w:p>
        </w:tc>
      </w:tr>
      <w:tr>
        <w:tblPrEx>
          <w:tblCellMar>
            <w:top w:w="145" w:type="dxa"/>
            <w:left w:w="61" w:type="dxa"/>
            <w:bottom w:w="44" w:type="dxa"/>
            <w:right w:w="48" w:type="dxa"/>
          </w:tblCellMar>
        </w:tblPrEx>
        <w:trPr>
          <w:trHeight w:val="357"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69" w:right="0" w:firstLine="0"/>
              <w:jc w:val="both"/>
              <w:rPr>
                <w:highlight w:val="none"/>
              </w:rPr>
            </w:pPr>
            <w:r>
              <w:rPr>
                <w:highlight w:val="none"/>
              </w:rPr>
              <w:t>院级</w:t>
            </w:r>
          </w:p>
        </w:tc>
        <w:tc>
          <w:tcPr>
            <w:tcW w:w="104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90" w:right="0" w:firstLine="0"/>
              <w:jc w:val="center"/>
              <w:rPr>
                <w:highlight w:val="none"/>
              </w:rPr>
            </w:pPr>
            <w:r>
              <w:rPr>
                <w:highlight w:val="none"/>
              </w:rPr>
              <w:t>—</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5</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7" w:firstLine="0"/>
              <w:jc w:val="center"/>
              <w:rPr>
                <w:highlight w:val="none"/>
              </w:rPr>
            </w:pPr>
            <w:r>
              <w:rPr>
                <w:highlight w:val="none"/>
              </w:rPr>
              <w:t>4</w:t>
            </w:r>
          </w:p>
        </w:tc>
        <w:tc>
          <w:tcPr>
            <w:tcW w:w="72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5" w:firstLine="0"/>
              <w:jc w:val="center"/>
              <w:rPr>
                <w:highlight w:val="none"/>
              </w:rPr>
            </w:pPr>
            <w:r>
              <w:rPr>
                <w:highlight w:val="none"/>
              </w:rPr>
              <w:t>3</w:t>
            </w:r>
          </w:p>
        </w:tc>
        <w:tc>
          <w:tcPr>
            <w:tcW w:w="3425" w:type="dxa"/>
            <w:gridSpan w:val="5"/>
            <w:tcBorders>
              <w:top w:val="single" w:color="000000" w:sz="4" w:space="0"/>
              <w:left w:val="single" w:color="000000" w:sz="4" w:space="0"/>
              <w:bottom w:val="single" w:color="000000" w:sz="4" w:space="0"/>
              <w:right w:val="single" w:color="000000" w:sz="4" w:space="0"/>
            </w:tcBorders>
            <w:vAlign w:val="center"/>
          </w:tcPr>
          <w:p>
            <w:pPr>
              <w:spacing w:after="160" w:line="360" w:lineRule="auto"/>
              <w:ind w:left="0" w:right="0" w:firstLine="0"/>
              <w:jc w:val="center"/>
              <w:rPr>
                <w:rFonts w:hint="default" w:eastAsia="宋体"/>
                <w:highlight w:val="none"/>
                <w:lang w:val="en-US" w:eastAsia="zh-CN"/>
              </w:rPr>
            </w:pPr>
            <w:r>
              <w:rPr>
                <w:rFonts w:hint="eastAsia"/>
                <w:highlight w:val="none"/>
                <w:lang w:val="en-US" w:eastAsia="zh-CN"/>
              </w:rPr>
              <w:t>2</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8" w:firstLine="0"/>
              <w:jc w:val="center"/>
              <w:rPr>
                <w:highlight w:val="none"/>
              </w:rPr>
            </w:pPr>
            <w:r>
              <w:rPr>
                <w:highlight w:val="none"/>
              </w:rPr>
              <w:t>-</w:t>
            </w:r>
          </w:p>
        </w:tc>
      </w:tr>
    </w:tbl>
    <w:p>
      <w:pPr>
        <w:spacing w:line="360" w:lineRule="auto"/>
        <w:ind w:left="0" w:leftChars="0" w:right="13" w:firstLine="0" w:firstLineChars="0"/>
        <w:rPr>
          <w:sz w:val="28"/>
          <w:szCs w:val="28"/>
          <w:highlight w:val="none"/>
        </w:rPr>
      </w:pPr>
      <w:r>
        <w:rPr>
          <w:sz w:val="28"/>
          <w:szCs w:val="28"/>
          <w:highlight w:val="none"/>
        </w:rPr>
        <w:t>赋分说明：</w:t>
      </w:r>
    </w:p>
    <w:p>
      <w:pPr>
        <w:spacing w:line="360" w:lineRule="auto"/>
        <w:ind w:right="13"/>
        <w:rPr>
          <w:sz w:val="28"/>
          <w:szCs w:val="28"/>
          <w:highlight w:val="none"/>
        </w:rPr>
      </w:pPr>
      <w:r>
        <w:rPr>
          <w:sz w:val="28"/>
          <w:szCs w:val="28"/>
          <w:highlight w:val="none"/>
        </w:rPr>
        <w:t>（1）集体项目为主力队员的，根据表7的标准加分，其它队员根据表7的标准减半加分；如果不区分主次，参加者均按照所获奖项得分。</w:t>
      </w:r>
    </w:p>
    <w:p>
      <w:pPr>
        <w:spacing w:after="126" w:line="360" w:lineRule="auto"/>
        <w:ind w:right="60"/>
        <w:jc w:val="both"/>
        <w:rPr>
          <w:sz w:val="28"/>
          <w:szCs w:val="28"/>
          <w:highlight w:val="none"/>
        </w:rPr>
      </w:pPr>
      <w:r>
        <w:rPr>
          <w:sz w:val="28"/>
          <w:szCs w:val="28"/>
          <w:highlight w:val="none"/>
        </w:rPr>
        <w:t>（2）参加运动队训练满一年者，校级加 8 分，学院级加 6 分；一学期者按 50％计分。</w:t>
      </w:r>
    </w:p>
    <w:p>
      <w:pPr>
        <w:spacing w:after="119" w:line="360" w:lineRule="auto"/>
        <w:ind w:right="13"/>
        <w:rPr>
          <w:sz w:val="28"/>
          <w:szCs w:val="28"/>
          <w:highlight w:val="none"/>
        </w:rPr>
      </w:pPr>
      <w:r>
        <w:rPr>
          <w:sz w:val="28"/>
          <w:szCs w:val="28"/>
          <w:highlight w:val="none"/>
        </w:rPr>
        <w:t>2.美育展演创新能力计分</w:t>
      </w:r>
    </w:p>
    <w:p>
      <w:pPr>
        <w:spacing w:after="0" w:line="360" w:lineRule="auto"/>
        <w:ind w:left="190" w:right="58"/>
        <w:jc w:val="center"/>
        <w:rPr>
          <w:b/>
          <w:bCs/>
          <w:highlight w:val="none"/>
        </w:rPr>
      </w:pPr>
      <w:r>
        <w:rPr>
          <w:b/>
          <w:bCs/>
          <w:highlight w:val="none"/>
        </w:rPr>
        <w:t>表8 美育展演获奖赋分标准（单位：分）</w:t>
      </w:r>
    </w:p>
    <w:tbl>
      <w:tblPr>
        <w:tblStyle w:val="10"/>
        <w:tblW w:w="8034" w:type="dxa"/>
        <w:jc w:val="center"/>
        <w:tblLayout w:type="autofit"/>
        <w:tblCellMar>
          <w:top w:w="146" w:type="dxa"/>
          <w:left w:w="405" w:type="dxa"/>
          <w:bottom w:w="0" w:type="dxa"/>
          <w:right w:w="115" w:type="dxa"/>
        </w:tblCellMar>
      </w:tblPr>
      <w:tblGrid>
        <w:gridCol w:w="2159"/>
        <w:gridCol w:w="1488"/>
        <w:gridCol w:w="1437"/>
        <w:gridCol w:w="1508"/>
        <w:gridCol w:w="1442"/>
      </w:tblGrid>
      <w:tr>
        <w:tblPrEx>
          <w:tblCellMar>
            <w:top w:w="146" w:type="dxa"/>
            <w:left w:w="405" w:type="dxa"/>
            <w:bottom w:w="0" w:type="dxa"/>
            <w:right w:w="115" w:type="dxa"/>
          </w:tblCellMar>
        </w:tblPrEx>
        <w:trPr>
          <w:trHeight w:val="409" w:hRule="atLeast"/>
          <w:jc w:val="center"/>
        </w:trPr>
        <w:tc>
          <w:tcPr>
            <w:tcW w:w="2159"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b/>
                <w:bCs/>
                <w:highlight w:val="none"/>
              </w:rPr>
            </w:pPr>
            <w:r>
              <w:rPr>
                <w:b/>
                <w:bCs/>
                <w:highlight w:val="none"/>
              </w:rPr>
              <w:t>级 别</w:t>
            </w:r>
          </w:p>
        </w:tc>
        <w:tc>
          <w:tcPr>
            <w:tcW w:w="14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1" w:firstLine="0"/>
              <w:jc w:val="center"/>
              <w:rPr>
                <w:b/>
                <w:bCs/>
                <w:highlight w:val="none"/>
              </w:rPr>
            </w:pPr>
            <w:r>
              <w:rPr>
                <w:b/>
                <w:bCs/>
                <w:highlight w:val="none"/>
              </w:rPr>
              <w:t>一等奖</w:t>
            </w:r>
          </w:p>
        </w:tc>
        <w:tc>
          <w:tcPr>
            <w:tcW w:w="1437"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b/>
                <w:bCs/>
                <w:highlight w:val="none"/>
              </w:rPr>
            </w:pPr>
            <w:r>
              <w:rPr>
                <w:b/>
                <w:bCs/>
                <w:highlight w:val="none"/>
              </w:rPr>
              <w:t>二等奖</w:t>
            </w:r>
          </w:p>
        </w:tc>
        <w:tc>
          <w:tcPr>
            <w:tcW w:w="150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1" w:firstLine="0"/>
              <w:jc w:val="center"/>
              <w:rPr>
                <w:b/>
                <w:bCs/>
                <w:highlight w:val="none"/>
              </w:rPr>
            </w:pPr>
            <w:r>
              <w:rPr>
                <w:b/>
                <w:bCs/>
                <w:highlight w:val="none"/>
              </w:rPr>
              <w:t>三等奖</w:t>
            </w:r>
          </w:p>
        </w:tc>
        <w:tc>
          <w:tcPr>
            <w:tcW w:w="1442" w:type="dxa"/>
            <w:tcBorders>
              <w:top w:val="single" w:color="000000" w:sz="4" w:space="0"/>
              <w:left w:val="single" w:color="000000" w:sz="4" w:space="0"/>
              <w:bottom w:val="single" w:color="000000" w:sz="4" w:space="0"/>
              <w:right w:val="single" w:color="000000" w:sz="4" w:space="0"/>
            </w:tcBorders>
          </w:tcPr>
          <w:p>
            <w:pPr>
              <w:spacing w:after="0" w:line="360" w:lineRule="auto"/>
              <w:ind w:left="5" w:right="0" w:firstLine="0"/>
              <w:rPr>
                <w:b/>
                <w:bCs/>
                <w:highlight w:val="none"/>
              </w:rPr>
            </w:pPr>
            <w:r>
              <w:rPr>
                <w:b/>
                <w:bCs/>
                <w:highlight w:val="none"/>
              </w:rPr>
              <w:t>参赛奖</w:t>
            </w:r>
          </w:p>
        </w:tc>
      </w:tr>
      <w:tr>
        <w:tblPrEx>
          <w:tblCellMar>
            <w:top w:w="146" w:type="dxa"/>
            <w:left w:w="405" w:type="dxa"/>
            <w:bottom w:w="0" w:type="dxa"/>
            <w:right w:w="115" w:type="dxa"/>
          </w:tblCellMar>
        </w:tblPrEx>
        <w:trPr>
          <w:trHeight w:val="292" w:hRule="atLeast"/>
          <w:jc w:val="center"/>
        </w:trPr>
        <w:tc>
          <w:tcPr>
            <w:tcW w:w="2159"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国家级</w:t>
            </w:r>
          </w:p>
        </w:tc>
        <w:tc>
          <w:tcPr>
            <w:tcW w:w="14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3" w:firstLine="0"/>
              <w:jc w:val="center"/>
              <w:rPr>
                <w:highlight w:val="none"/>
              </w:rPr>
            </w:pPr>
            <w:r>
              <w:rPr>
                <w:highlight w:val="none"/>
              </w:rPr>
              <w:t>30</w:t>
            </w:r>
          </w:p>
        </w:tc>
        <w:tc>
          <w:tcPr>
            <w:tcW w:w="1437"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0" w:firstLine="0"/>
              <w:jc w:val="center"/>
              <w:rPr>
                <w:highlight w:val="none"/>
              </w:rPr>
            </w:pPr>
            <w:r>
              <w:rPr>
                <w:highlight w:val="none"/>
              </w:rPr>
              <w:t>24</w:t>
            </w:r>
          </w:p>
        </w:tc>
        <w:tc>
          <w:tcPr>
            <w:tcW w:w="150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18</w:t>
            </w:r>
          </w:p>
        </w:tc>
        <w:tc>
          <w:tcPr>
            <w:tcW w:w="1442"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4</w:t>
            </w:r>
          </w:p>
        </w:tc>
      </w:tr>
      <w:tr>
        <w:tblPrEx>
          <w:tblCellMar>
            <w:top w:w="146" w:type="dxa"/>
            <w:left w:w="405" w:type="dxa"/>
            <w:bottom w:w="0" w:type="dxa"/>
            <w:right w:w="115" w:type="dxa"/>
          </w:tblCellMar>
        </w:tblPrEx>
        <w:trPr>
          <w:trHeight w:val="426" w:hRule="atLeast"/>
          <w:jc w:val="center"/>
        </w:trPr>
        <w:tc>
          <w:tcPr>
            <w:tcW w:w="2159"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5" w:firstLine="0"/>
              <w:jc w:val="center"/>
              <w:rPr>
                <w:highlight w:val="none"/>
              </w:rPr>
            </w:pPr>
            <w:r>
              <w:rPr>
                <w:highlight w:val="none"/>
              </w:rPr>
              <w:t>省（部）级</w:t>
            </w:r>
          </w:p>
        </w:tc>
        <w:tc>
          <w:tcPr>
            <w:tcW w:w="14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3" w:firstLine="0"/>
              <w:jc w:val="center"/>
              <w:rPr>
                <w:highlight w:val="none"/>
              </w:rPr>
            </w:pPr>
            <w:r>
              <w:rPr>
                <w:highlight w:val="none"/>
              </w:rPr>
              <w:t>20</w:t>
            </w:r>
          </w:p>
        </w:tc>
        <w:tc>
          <w:tcPr>
            <w:tcW w:w="1437"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0" w:firstLine="0"/>
              <w:jc w:val="center"/>
              <w:rPr>
                <w:highlight w:val="none"/>
              </w:rPr>
            </w:pPr>
            <w:r>
              <w:rPr>
                <w:highlight w:val="none"/>
              </w:rPr>
              <w:t>16</w:t>
            </w:r>
          </w:p>
        </w:tc>
        <w:tc>
          <w:tcPr>
            <w:tcW w:w="150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12</w:t>
            </w:r>
          </w:p>
        </w:tc>
        <w:tc>
          <w:tcPr>
            <w:tcW w:w="1442"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2</w:t>
            </w:r>
          </w:p>
        </w:tc>
      </w:tr>
      <w:tr>
        <w:tblPrEx>
          <w:tblCellMar>
            <w:top w:w="146" w:type="dxa"/>
            <w:left w:w="405" w:type="dxa"/>
            <w:bottom w:w="0" w:type="dxa"/>
            <w:right w:w="115" w:type="dxa"/>
          </w:tblCellMar>
        </w:tblPrEx>
        <w:trPr>
          <w:trHeight w:val="266" w:hRule="atLeast"/>
          <w:jc w:val="center"/>
        </w:trPr>
        <w:tc>
          <w:tcPr>
            <w:tcW w:w="2159"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5" w:firstLine="0"/>
              <w:jc w:val="center"/>
              <w:rPr>
                <w:highlight w:val="none"/>
              </w:rPr>
            </w:pPr>
            <w:r>
              <w:rPr>
                <w:highlight w:val="none"/>
              </w:rPr>
              <w:t>市、校级</w:t>
            </w:r>
          </w:p>
        </w:tc>
        <w:tc>
          <w:tcPr>
            <w:tcW w:w="14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3" w:firstLine="0"/>
              <w:jc w:val="center"/>
              <w:rPr>
                <w:highlight w:val="none"/>
              </w:rPr>
            </w:pPr>
            <w:r>
              <w:rPr>
                <w:highlight w:val="none"/>
              </w:rPr>
              <w:t>10</w:t>
            </w:r>
          </w:p>
        </w:tc>
        <w:tc>
          <w:tcPr>
            <w:tcW w:w="1437"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8</w:t>
            </w:r>
          </w:p>
        </w:tc>
        <w:tc>
          <w:tcPr>
            <w:tcW w:w="150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4" w:firstLine="0"/>
              <w:jc w:val="center"/>
              <w:rPr>
                <w:highlight w:val="none"/>
              </w:rPr>
            </w:pPr>
            <w:r>
              <w:rPr>
                <w:highlight w:val="none"/>
              </w:rPr>
              <w:t>6</w:t>
            </w:r>
          </w:p>
        </w:tc>
        <w:tc>
          <w:tcPr>
            <w:tcW w:w="1442"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1</w:t>
            </w:r>
          </w:p>
        </w:tc>
      </w:tr>
      <w:tr>
        <w:tblPrEx>
          <w:tblCellMar>
            <w:top w:w="146" w:type="dxa"/>
            <w:left w:w="405" w:type="dxa"/>
            <w:bottom w:w="0" w:type="dxa"/>
            <w:right w:w="115" w:type="dxa"/>
          </w:tblCellMar>
        </w:tblPrEx>
        <w:trPr>
          <w:trHeight w:val="316" w:hRule="atLeast"/>
          <w:jc w:val="center"/>
        </w:trPr>
        <w:tc>
          <w:tcPr>
            <w:tcW w:w="2159"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7" w:firstLine="0"/>
              <w:jc w:val="center"/>
              <w:rPr>
                <w:highlight w:val="none"/>
              </w:rPr>
            </w:pPr>
            <w:r>
              <w:rPr>
                <w:highlight w:val="none"/>
              </w:rPr>
              <w:t>院级</w:t>
            </w:r>
          </w:p>
        </w:tc>
        <w:tc>
          <w:tcPr>
            <w:tcW w:w="14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5" w:firstLine="0"/>
              <w:jc w:val="center"/>
              <w:rPr>
                <w:highlight w:val="none"/>
              </w:rPr>
            </w:pPr>
            <w:r>
              <w:rPr>
                <w:highlight w:val="none"/>
              </w:rPr>
              <w:t>5</w:t>
            </w:r>
          </w:p>
        </w:tc>
        <w:tc>
          <w:tcPr>
            <w:tcW w:w="1437"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4</w:t>
            </w:r>
          </w:p>
        </w:tc>
        <w:tc>
          <w:tcPr>
            <w:tcW w:w="1508"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4" w:firstLine="0"/>
              <w:jc w:val="center"/>
              <w:rPr>
                <w:highlight w:val="none"/>
              </w:rPr>
            </w:pPr>
            <w:r>
              <w:rPr>
                <w:highlight w:val="none"/>
              </w:rPr>
              <w:t>3</w:t>
            </w:r>
          </w:p>
        </w:tc>
        <w:tc>
          <w:tcPr>
            <w:tcW w:w="1442" w:type="dxa"/>
            <w:tcBorders>
              <w:top w:val="single" w:color="000000" w:sz="4" w:space="0"/>
              <w:left w:val="single" w:color="000000" w:sz="4" w:space="0"/>
              <w:bottom w:val="single" w:color="000000" w:sz="4" w:space="0"/>
              <w:right w:val="single" w:color="000000" w:sz="4" w:space="0"/>
            </w:tcBorders>
          </w:tcPr>
          <w:p>
            <w:pPr>
              <w:spacing w:after="0" w:line="360" w:lineRule="auto"/>
              <w:ind w:left="0" w:right="282" w:firstLine="0"/>
              <w:jc w:val="center"/>
              <w:rPr>
                <w:highlight w:val="none"/>
              </w:rPr>
            </w:pPr>
            <w:r>
              <w:rPr>
                <w:highlight w:val="none"/>
              </w:rPr>
              <w:t>-</w:t>
            </w:r>
          </w:p>
        </w:tc>
      </w:tr>
    </w:tbl>
    <w:p>
      <w:pPr>
        <w:spacing w:line="360" w:lineRule="auto"/>
        <w:ind w:left="578" w:right="13"/>
        <w:rPr>
          <w:highlight w:val="none"/>
        </w:rPr>
      </w:pPr>
    </w:p>
    <w:p>
      <w:pPr>
        <w:spacing w:line="360" w:lineRule="auto"/>
        <w:ind w:left="578" w:right="13"/>
        <w:rPr>
          <w:sz w:val="28"/>
          <w:szCs w:val="28"/>
          <w:highlight w:val="none"/>
        </w:rPr>
      </w:pPr>
      <w:r>
        <w:rPr>
          <w:sz w:val="28"/>
          <w:szCs w:val="28"/>
          <w:highlight w:val="none"/>
        </w:rPr>
        <w:t>赋分说明：</w:t>
      </w:r>
    </w:p>
    <w:p>
      <w:pPr>
        <w:numPr>
          <w:ilvl w:val="0"/>
          <w:numId w:val="0"/>
        </w:numPr>
        <w:spacing w:after="1" w:line="360" w:lineRule="auto"/>
        <w:ind w:right="0" w:rightChars="0"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1</w:t>
      </w:r>
      <w:r>
        <w:rPr>
          <w:rFonts w:hint="eastAsia"/>
          <w:sz w:val="28"/>
          <w:szCs w:val="28"/>
          <w:highlight w:val="none"/>
          <w:lang w:eastAsia="zh-CN"/>
        </w:rPr>
        <w:t>）</w:t>
      </w:r>
      <w:r>
        <w:rPr>
          <w:sz w:val="28"/>
          <w:szCs w:val="28"/>
          <w:highlight w:val="none"/>
        </w:rPr>
        <w:t>美育展演比赛，原则上是由政府部门、事业单位举办的比赛活动。如举办区域性比赛，按对应级别计分。各行业协会举办的比赛（含网络比赛），获奖得分计算原则上参考省部级分数的一半计分，如能明确其属于其他级别的，需提供证明材料，可参考相应级别加分，并附上专业老师鉴定级别的证明材料。</w:t>
      </w:r>
    </w:p>
    <w:p>
      <w:pPr>
        <w:numPr>
          <w:ilvl w:val="0"/>
          <w:numId w:val="0"/>
        </w:numPr>
        <w:spacing w:after="1" w:line="360" w:lineRule="auto"/>
        <w:ind w:right="0" w:rightChars="0"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lang w:eastAsia="zh-CN"/>
        </w:rPr>
        <w:t>）</w:t>
      </w:r>
      <w:r>
        <w:rPr>
          <w:sz w:val="28"/>
          <w:szCs w:val="28"/>
          <w:highlight w:val="none"/>
        </w:rPr>
        <w:t>集体项目为主要演员的，根据表8的标准加分，其它成员根据表8的标准减半加分；如果不区分主次，参加者均按照所获奖项得分。</w:t>
      </w:r>
    </w:p>
    <w:p>
      <w:pPr>
        <w:numPr>
          <w:ilvl w:val="0"/>
          <w:numId w:val="0"/>
        </w:numPr>
        <w:spacing w:after="139" w:line="360" w:lineRule="auto"/>
        <w:ind w:right="0" w:rightChars="0" w:firstLine="560" w:firstLineChars="200"/>
        <w:rPr>
          <w:sz w:val="28"/>
          <w:szCs w:val="28"/>
          <w:highlight w:val="none"/>
        </w:rPr>
      </w:pPr>
      <w:r>
        <w:rPr>
          <w:rFonts w:hint="eastAsia"/>
          <w:sz w:val="28"/>
          <w:szCs w:val="28"/>
          <w:highlight w:val="none"/>
          <w:lang w:eastAsia="zh-CN"/>
        </w:rPr>
        <w:t>（</w:t>
      </w:r>
      <w:r>
        <w:rPr>
          <w:rFonts w:hint="eastAsia"/>
          <w:sz w:val="28"/>
          <w:szCs w:val="28"/>
          <w:highlight w:val="none"/>
          <w:lang w:val="en-US" w:eastAsia="zh-CN"/>
        </w:rPr>
        <w:t>3</w:t>
      </w:r>
      <w:r>
        <w:rPr>
          <w:rFonts w:hint="eastAsia"/>
          <w:sz w:val="28"/>
          <w:szCs w:val="28"/>
          <w:highlight w:val="none"/>
          <w:lang w:eastAsia="zh-CN"/>
        </w:rPr>
        <w:t>）</w:t>
      </w:r>
      <w:r>
        <w:rPr>
          <w:sz w:val="28"/>
          <w:szCs w:val="28"/>
          <w:highlight w:val="none"/>
        </w:rPr>
        <w:t>参加艺术团（队）训练满一年者，校级加 8 分，学院级加 6 分；一学期者按50％ 计分。</w:t>
      </w:r>
    </w:p>
    <w:p>
      <w:pPr>
        <w:spacing w:after="114" w:line="360" w:lineRule="auto"/>
        <w:ind w:right="13"/>
        <w:rPr>
          <w:sz w:val="28"/>
          <w:szCs w:val="28"/>
          <w:highlight w:val="none"/>
        </w:rPr>
      </w:pPr>
      <w:r>
        <w:rPr>
          <w:sz w:val="28"/>
          <w:szCs w:val="28"/>
          <w:highlight w:val="none"/>
        </w:rPr>
        <w:t>3.文化活动创新能力计分</w:t>
      </w:r>
    </w:p>
    <w:p>
      <w:pPr>
        <w:spacing w:after="63" w:line="360" w:lineRule="auto"/>
        <w:ind w:left="190" w:right="394"/>
        <w:jc w:val="center"/>
        <w:rPr>
          <w:b/>
          <w:bCs/>
          <w:highlight w:val="none"/>
        </w:rPr>
      </w:pPr>
      <w:r>
        <w:rPr>
          <w:b/>
          <w:bCs/>
          <w:highlight w:val="none"/>
        </w:rPr>
        <w:t>表 9 文化活动获奖赋分标准（单位：分）</w:t>
      </w:r>
    </w:p>
    <w:tbl>
      <w:tblPr>
        <w:tblStyle w:val="10"/>
        <w:tblW w:w="8203" w:type="dxa"/>
        <w:jc w:val="center"/>
        <w:tblLayout w:type="autofit"/>
        <w:tblCellMar>
          <w:top w:w="146" w:type="dxa"/>
          <w:left w:w="115" w:type="dxa"/>
          <w:bottom w:w="49" w:type="dxa"/>
          <w:right w:w="115" w:type="dxa"/>
        </w:tblCellMar>
      </w:tblPr>
      <w:tblGrid>
        <w:gridCol w:w="1952"/>
        <w:gridCol w:w="1637"/>
        <w:gridCol w:w="1563"/>
        <w:gridCol w:w="1575"/>
        <w:gridCol w:w="1476"/>
      </w:tblGrid>
      <w:tr>
        <w:tblPrEx>
          <w:tblCellMar>
            <w:top w:w="146" w:type="dxa"/>
            <w:left w:w="115" w:type="dxa"/>
            <w:bottom w:w="49" w:type="dxa"/>
            <w:right w:w="115" w:type="dxa"/>
          </w:tblCellMar>
        </w:tblPrEx>
        <w:trPr>
          <w:trHeight w:val="90" w:hRule="atLeast"/>
          <w:jc w:val="center"/>
        </w:trPr>
        <w:tc>
          <w:tcPr>
            <w:tcW w:w="1952" w:type="dxa"/>
            <w:tcBorders>
              <w:top w:val="single" w:color="000000" w:sz="4" w:space="0"/>
              <w:left w:val="single" w:color="000000" w:sz="4" w:space="0"/>
              <w:bottom w:val="single" w:color="000000" w:sz="4" w:space="0"/>
              <w:right w:val="single" w:color="000000" w:sz="4" w:space="0"/>
            </w:tcBorders>
          </w:tcPr>
          <w:p>
            <w:pPr>
              <w:spacing w:after="0" w:line="360" w:lineRule="auto"/>
              <w:ind w:left="8" w:right="0" w:firstLine="0"/>
              <w:jc w:val="center"/>
              <w:rPr>
                <w:b/>
                <w:bCs/>
                <w:highlight w:val="none"/>
              </w:rPr>
            </w:pPr>
            <w:r>
              <w:rPr>
                <w:b/>
                <w:bCs/>
                <w:highlight w:val="none"/>
              </w:rPr>
              <w:t>级 别</w:t>
            </w:r>
          </w:p>
        </w:tc>
        <w:tc>
          <w:tcPr>
            <w:tcW w:w="1637" w:type="dxa"/>
            <w:tcBorders>
              <w:top w:val="single" w:color="000000" w:sz="4" w:space="0"/>
              <w:left w:val="single" w:color="000000" w:sz="4" w:space="0"/>
              <w:bottom w:val="single" w:color="000000" w:sz="4" w:space="0"/>
              <w:right w:val="single" w:color="000000" w:sz="4" w:space="0"/>
            </w:tcBorders>
          </w:tcPr>
          <w:p>
            <w:pPr>
              <w:spacing w:after="0" w:line="360" w:lineRule="auto"/>
              <w:ind w:left="4" w:right="0" w:firstLine="0"/>
              <w:jc w:val="center"/>
              <w:rPr>
                <w:b/>
                <w:bCs/>
                <w:highlight w:val="none"/>
              </w:rPr>
            </w:pPr>
            <w:r>
              <w:rPr>
                <w:b/>
                <w:bCs/>
                <w:highlight w:val="none"/>
              </w:rPr>
              <w:t>一等奖</w:t>
            </w:r>
          </w:p>
        </w:tc>
        <w:tc>
          <w:tcPr>
            <w:tcW w:w="1563" w:type="dxa"/>
            <w:tcBorders>
              <w:top w:val="single" w:color="000000" w:sz="4" w:space="0"/>
              <w:left w:val="single" w:color="000000" w:sz="4" w:space="0"/>
              <w:bottom w:val="single" w:color="000000" w:sz="4" w:space="0"/>
              <w:right w:val="single" w:color="000000" w:sz="4" w:space="0"/>
            </w:tcBorders>
          </w:tcPr>
          <w:p>
            <w:pPr>
              <w:spacing w:after="0" w:line="360" w:lineRule="auto"/>
              <w:ind w:left="6" w:right="0" w:firstLine="0"/>
              <w:jc w:val="center"/>
              <w:rPr>
                <w:b/>
                <w:bCs/>
                <w:highlight w:val="none"/>
              </w:rPr>
            </w:pPr>
            <w:r>
              <w:rPr>
                <w:b/>
                <w:bCs/>
                <w:highlight w:val="none"/>
              </w:rPr>
              <w:t>二等奖</w:t>
            </w:r>
          </w:p>
        </w:tc>
        <w:tc>
          <w:tcPr>
            <w:tcW w:w="1575" w:type="dxa"/>
            <w:tcBorders>
              <w:top w:val="single" w:color="000000" w:sz="4" w:space="0"/>
              <w:left w:val="single" w:color="000000" w:sz="4" w:space="0"/>
              <w:bottom w:val="single" w:color="000000" w:sz="4" w:space="0"/>
              <w:right w:val="single" w:color="000000" w:sz="4" w:space="0"/>
            </w:tcBorders>
          </w:tcPr>
          <w:p>
            <w:pPr>
              <w:spacing w:after="0" w:line="360" w:lineRule="auto"/>
              <w:ind w:left="7" w:right="0" w:firstLine="0"/>
              <w:jc w:val="center"/>
              <w:rPr>
                <w:b/>
                <w:bCs/>
                <w:highlight w:val="none"/>
              </w:rPr>
            </w:pPr>
            <w:r>
              <w:rPr>
                <w:b/>
                <w:bCs/>
                <w:highlight w:val="none"/>
              </w:rPr>
              <w:t>三等奖</w:t>
            </w:r>
          </w:p>
        </w:tc>
        <w:tc>
          <w:tcPr>
            <w:tcW w:w="1476" w:type="dxa"/>
            <w:tcBorders>
              <w:top w:val="single" w:color="000000" w:sz="4" w:space="0"/>
              <w:left w:val="single" w:color="000000" w:sz="4" w:space="0"/>
              <w:bottom w:val="single" w:color="000000" w:sz="4" w:space="0"/>
              <w:right w:val="single" w:color="000000" w:sz="4" w:space="0"/>
            </w:tcBorders>
          </w:tcPr>
          <w:p>
            <w:pPr>
              <w:spacing w:after="0" w:line="360" w:lineRule="auto"/>
              <w:ind w:left="4" w:right="0" w:firstLine="0"/>
              <w:jc w:val="center"/>
              <w:rPr>
                <w:b/>
                <w:bCs/>
                <w:highlight w:val="none"/>
              </w:rPr>
            </w:pPr>
            <w:r>
              <w:rPr>
                <w:b/>
                <w:bCs/>
                <w:highlight w:val="none"/>
              </w:rPr>
              <w:t>优秀奖</w:t>
            </w:r>
          </w:p>
        </w:tc>
      </w:tr>
      <w:tr>
        <w:tblPrEx>
          <w:tblCellMar>
            <w:top w:w="146" w:type="dxa"/>
            <w:left w:w="115" w:type="dxa"/>
            <w:bottom w:w="49" w:type="dxa"/>
            <w:right w:w="115" w:type="dxa"/>
          </w:tblCellMar>
        </w:tblPrEx>
        <w:trPr>
          <w:trHeight w:val="273" w:hRule="atLeast"/>
          <w:jc w:val="center"/>
        </w:trPr>
        <w:tc>
          <w:tcPr>
            <w:tcW w:w="1952" w:type="dxa"/>
            <w:tcBorders>
              <w:top w:val="single" w:color="000000" w:sz="4" w:space="0"/>
              <w:left w:val="single" w:color="000000" w:sz="4" w:space="0"/>
              <w:bottom w:val="single" w:color="000000" w:sz="4" w:space="0"/>
              <w:right w:val="single" w:color="000000" w:sz="4" w:space="0"/>
            </w:tcBorders>
          </w:tcPr>
          <w:p>
            <w:pPr>
              <w:spacing w:after="0" w:line="360" w:lineRule="auto"/>
              <w:ind w:left="8" w:right="0" w:firstLine="0"/>
              <w:jc w:val="center"/>
              <w:rPr>
                <w:highlight w:val="none"/>
              </w:rPr>
            </w:pPr>
            <w:r>
              <w:rPr>
                <w:highlight w:val="none"/>
              </w:rPr>
              <w:t>国家级</w:t>
            </w:r>
          </w:p>
        </w:tc>
        <w:tc>
          <w:tcPr>
            <w:tcW w:w="1637" w:type="dxa"/>
            <w:tcBorders>
              <w:top w:val="single" w:color="000000" w:sz="4" w:space="0"/>
              <w:left w:val="single" w:color="000000" w:sz="4" w:space="0"/>
              <w:bottom w:val="single" w:color="000000" w:sz="4" w:space="0"/>
              <w:right w:val="single" w:color="000000" w:sz="4" w:space="0"/>
            </w:tcBorders>
          </w:tcPr>
          <w:p>
            <w:pPr>
              <w:spacing w:after="0" w:line="360" w:lineRule="auto"/>
              <w:ind w:left="8" w:right="0" w:firstLine="0"/>
              <w:jc w:val="center"/>
              <w:rPr>
                <w:highlight w:val="none"/>
              </w:rPr>
            </w:pPr>
            <w:r>
              <w:rPr>
                <w:highlight w:val="none"/>
              </w:rPr>
              <w:t>30</w:t>
            </w:r>
          </w:p>
        </w:tc>
        <w:tc>
          <w:tcPr>
            <w:tcW w:w="1563" w:type="dxa"/>
            <w:tcBorders>
              <w:top w:val="single" w:color="000000" w:sz="4" w:space="0"/>
              <w:left w:val="single" w:color="000000" w:sz="4" w:space="0"/>
              <w:bottom w:val="single" w:color="000000" w:sz="4" w:space="0"/>
              <w:right w:val="single" w:color="000000" w:sz="4" w:space="0"/>
            </w:tcBorders>
          </w:tcPr>
          <w:p>
            <w:pPr>
              <w:spacing w:after="0" w:line="360" w:lineRule="auto"/>
              <w:ind w:left="5" w:right="0" w:firstLine="0"/>
              <w:jc w:val="center"/>
              <w:rPr>
                <w:highlight w:val="none"/>
              </w:rPr>
            </w:pPr>
            <w:r>
              <w:rPr>
                <w:highlight w:val="none"/>
              </w:rPr>
              <w:t>24</w:t>
            </w:r>
          </w:p>
        </w:tc>
        <w:tc>
          <w:tcPr>
            <w:tcW w:w="1575" w:type="dxa"/>
            <w:tcBorders>
              <w:top w:val="single" w:color="000000" w:sz="4" w:space="0"/>
              <w:left w:val="single" w:color="000000" w:sz="4" w:space="0"/>
              <w:bottom w:val="single" w:color="000000" w:sz="4" w:space="0"/>
              <w:right w:val="single" w:color="000000" w:sz="4" w:space="0"/>
            </w:tcBorders>
          </w:tcPr>
          <w:p>
            <w:pPr>
              <w:spacing w:after="0" w:line="360" w:lineRule="auto"/>
              <w:ind w:left="6" w:right="0" w:firstLine="0"/>
              <w:jc w:val="center"/>
              <w:rPr>
                <w:highlight w:val="none"/>
              </w:rPr>
            </w:pPr>
            <w:r>
              <w:rPr>
                <w:highlight w:val="none"/>
              </w:rPr>
              <w:t>18</w:t>
            </w:r>
          </w:p>
        </w:tc>
        <w:tc>
          <w:tcPr>
            <w:tcW w:w="1476" w:type="dxa"/>
            <w:tcBorders>
              <w:top w:val="single" w:color="000000" w:sz="4" w:space="0"/>
              <w:left w:val="single" w:color="000000" w:sz="4" w:space="0"/>
              <w:bottom w:val="single" w:color="000000" w:sz="4" w:space="0"/>
              <w:right w:val="single" w:color="000000" w:sz="4" w:space="0"/>
            </w:tcBorders>
          </w:tcPr>
          <w:p>
            <w:pPr>
              <w:spacing w:after="0" w:line="360" w:lineRule="auto"/>
              <w:ind w:right="0" w:firstLine="0"/>
              <w:jc w:val="center"/>
              <w:rPr>
                <w:highlight w:val="none"/>
              </w:rPr>
            </w:pPr>
            <w:r>
              <w:rPr>
                <w:highlight w:val="none"/>
              </w:rPr>
              <w:t>4</w:t>
            </w:r>
          </w:p>
        </w:tc>
      </w:tr>
      <w:tr>
        <w:tblPrEx>
          <w:tblCellMar>
            <w:top w:w="146" w:type="dxa"/>
            <w:left w:w="115" w:type="dxa"/>
            <w:bottom w:w="49" w:type="dxa"/>
            <w:right w:w="115" w:type="dxa"/>
          </w:tblCellMar>
        </w:tblPrEx>
        <w:trPr>
          <w:trHeight w:val="90" w:hRule="atLeast"/>
          <w:jc w:val="center"/>
        </w:trPr>
        <w:tc>
          <w:tcPr>
            <w:tcW w:w="1952" w:type="dxa"/>
            <w:tcBorders>
              <w:top w:val="single" w:color="000000" w:sz="4" w:space="0"/>
              <w:left w:val="single" w:color="000000" w:sz="4" w:space="0"/>
              <w:bottom w:val="single" w:color="000000" w:sz="4" w:space="0"/>
              <w:right w:val="single" w:color="000000" w:sz="4" w:space="0"/>
            </w:tcBorders>
          </w:tcPr>
          <w:p>
            <w:pPr>
              <w:spacing w:after="0" w:line="360" w:lineRule="auto"/>
              <w:ind w:left="5" w:right="0" w:firstLine="0"/>
              <w:jc w:val="center"/>
              <w:rPr>
                <w:highlight w:val="none"/>
              </w:rPr>
            </w:pPr>
            <w:r>
              <w:rPr>
                <w:highlight w:val="none"/>
              </w:rPr>
              <w:t>省（部）级</w:t>
            </w:r>
          </w:p>
        </w:tc>
        <w:tc>
          <w:tcPr>
            <w:tcW w:w="1637" w:type="dxa"/>
            <w:tcBorders>
              <w:top w:val="single" w:color="000000" w:sz="4" w:space="0"/>
              <w:left w:val="single" w:color="000000" w:sz="4" w:space="0"/>
              <w:bottom w:val="single" w:color="000000" w:sz="4" w:space="0"/>
              <w:right w:val="single" w:color="000000" w:sz="4" w:space="0"/>
            </w:tcBorders>
          </w:tcPr>
          <w:p>
            <w:pPr>
              <w:spacing w:after="0" w:line="360" w:lineRule="auto"/>
              <w:ind w:left="8" w:right="0" w:firstLine="0"/>
              <w:jc w:val="center"/>
              <w:rPr>
                <w:highlight w:val="none"/>
              </w:rPr>
            </w:pPr>
            <w:r>
              <w:rPr>
                <w:highlight w:val="none"/>
              </w:rPr>
              <w:t>20</w:t>
            </w:r>
          </w:p>
        </w:tc>
        <w:tc>
          <w:tcPr>
            <w:tcW w:w="1563" w:type="dxa"/>
            <w:tcBorders>
              <w:top w:val="single" w:color="000000" w:sz="4" w:space="0"/>
              <w:left w:val="single" w:color="000000" w:sz="4" w:space="0"/>
              <w:bottom w:val="single" w:color="000000" w:sz="4" w:space="0"/>
              <w:right w:val="single" w:color="000000" w:sz="4" w:space="0"/>
            </w:tcBorders>
          </w:tcPr>
          <w:p>
            <w:pPr>
              <w:spacing w:after="0" w:line="360" w:lineRule="auto"/>
              <w:ind w:left="5" w:right="0" w:firstLine="0"/>
              <w:jc w:val="center"/>
              <w:rPr>
                <w:highlight w:val="none"/>
              </w:rPr>
            </w:pPr>
            <w:r>
              <w:rPr>
                <w:highlight w:val="none"/>
              </w:rPr>
              <w:t>16</w:t>
            </w:r>
          </w:p>
        </w:tc>
        <w:tc>
          <w:tcPr>
            <w:tcW w:w="1575" w:type="dxa"/>
            <w:tcBorders>
              <w:top w:val="single" w:color="000000" w:sz="4" w:space="0"/>
              <w:left w:val="single" w:color="000000" w:sz="4" w:space="0"/>
              <w:bottom w:val="single" w:color="000000" w:sz="4" w:space="0"/>
              <w:right w:val="single" w:color="000000" w:sz="4" w:space="0"/>
            </w:tcBorders>
          </w:tcPr>
          <w:p>
            <w:pPr>
              <w:spacing w:after="0" w:line="360" w:lineRule="auto"/>
              <w:ind w:left="6" w:right="0" w:firstLine="0"/>
              <w:jc w:val="center"/>
              <w:rPr>
                <w:highlight w:val="none"/>
              </w:rPr>
            </w:pPr>
            <w:r>
              <w:rPr>
                <w:highlight w:val="none"/>
              </w:rPr>
              <w:t>12</w:t>
            </w:r>
          </w:p>
        </w:tc>
        <w:tc>
          <w:tcPr>
            <w:tcW w:w="1476" w:type="dxa"/>
            <w:tcBorders>
              <w:top w:val="single" w:color="000000" w:sz="4" w:space="0"/>
              <w:left w:val="single" w:color="000000" w:sz="4" w:space="0"/>
              <w:bottom w:val="single" w:color="000000" w:sz="4" w:space="0"/>
              <w:right w:val="single" w:color="000000" w:sz="4" w:space="0"/>
            </w:tcBorders>
          </w:tcPr>
          <w:p>
            <w:pPr>
              <w:spacing w:after="0" w:line="360" w:lineRule="auto"/>
              <w:ind w:right="0" w:firstLine="0"/>
              <w:jc w:val="center"/>
              <w:rPr>
                <w:highlight w:val="none"/>
              </w:rPr>
            </w:pPr>
            <w:r>
              <w:rPr>
                <w:highlight w:val="none"/>
              </w:rPr>
              <w:t>2</w:t>
            </w:r>
          </w:p>
        </w:tc>
      </w:tr>
      <w:tr>
        <w:tblPrEx>
          <w:tblCellMar>
            <w:top w:w="146" w:type="dxa"/>
            <w:left w:w="115" w:type="dxa"/>
            <w:bottom w:w="49" w:type="dxa"/>
            <w:right w:w="115" w:type="dxa"/>
          </w:tblCellMar>
        </w:tblPrEx>
        <w:trPr>
          <w:trHeight w:val="90" w:hRule="atLeast"/>
          <w:jc w:val="center"/>
        </w:trPr>
        <w:tc>
          <w:tcPr>
            <w:tcW w:w="1952" w:type="dxa"/>
            <w:tcBorders>
              <w:top w:val="single" w:color="000000" w:sz="4" w:space="0"/>
              <w:left w:val="single" w:color="000000" w:sz="4" w:space="0"/>
              <w:bottom w:val="single" w:color="000000" w:sz="4" w:space="0"/>
              <w:right w:val="single" w:color="000000" w:sz="4" w:space="0"/>
            </w:tcBorders>
            <w:vAlign w:val="bottom"/>
          </w:tcPr>
          <w:p>
            <w:pPr>
              <w:spacing w:after="0" w:line="360" w:lineRule="auto"/>
              <w:ind w:left="5" w:right="0" w:firstLine="0"/>
              <w:jc w:val="center"/>
              <w:rPr>
                <w:highlight w:val="none"/>
              </w:rPr>
            </w:pPr>
            <w:r>
              <w:rPr>
                <w:highlight w:val="none"/>
              </w:rPr>
              <w:t>市、校级</w:t>
            </w:r>
          </w:p>
        </w:tc>
        <w:tc>
          <w:tcPr>
            <w:tcW w:w="163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8" w:right="0" w:firstLine="0"/>
              <w:jc w:val="center"/>
              <w:rPr>
                <w:highlight w:val="none"/>
              </w:rPr>
            </w:pPr>
            <w:r>
              <w:rPr>
                <w:highlight w:val="none"/>
              </w:rPr>
              <w:t>10</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7" w:right="0" w:firstLine="0"/>
              <w:jc w:val="center"/>
              <w:rPr>
                <w:highlight w:val="none"/>
              </w:rPr>
            </w:pPr>
            <w:r>
              <w:rPr>
                <w:highlight w:val="none"/>
              </w:rPr>
              <w:t>8</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9" w:right="0" w:firstLine="0"/>
              <w:jc w:val="center"/>
              <w:rPr>
                <w:highlight w:val="none"/>
              </w:rPr>
            </w:pPr>
            <w:r>
              <w:rPr>
                <w:highlight w:val="none"/>
              </w:rPr>
              <w:t>6</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right="0" w:firstLine="0"/>
              <w:jc w:val="center"/>
              <w:rPr>
                <w:highlight w:val="none"/>
              </w:rPr>
            </w:pPr>
            <w:r>
              <w:rPr>
                <w:highlight w:val="none"/>
              </w:rPr>
              <w:t>1</w:t>
            </w:r>
          </w:p>
        </w:tc>
      </w:tr>
      <w:tr>
        <w:tblPrEx>
          <w:tblCellMar>
            <w:top w:w="146" w:type="dxa"/>
            <w:left w:w="115" w:type="dxa"/>
            <w:bottom w:w="49" w:type="dxa"/>
            <w:right w:w="115" w:type="dxa"/>
          </w:tblCellMar>
        </w:tblPrEx>
        <w:trPr>
          <w:trHeight w:val="90" w:hRule="atLeast"/>
          <w:jc w:val="center"/>
        </w:trPr>
        <w:tc>
          <w:tcPr>
            <w:tcW w:w="1952" w:type="dxa"/>
            <w:tcBorders>
              <w:top w:val="single" w:color="000000" w:sz="4" w:space="0"/>
              <w:left w:val="single" w:color="000000" w:sz="4" w:space="0"/>
              <w:bottom w:val="single" w:color="000000" w:sz="4" w:space="0"/>
              <w:right w:val="single" w:color="000000" w:sz="4" w:space="0"/>
            </w:tcBorders>
          </w:tcPr>
          <w:p>
            <w:pPr>
              <w:spacing w:after="0" w:line="360" w:lineRule="auto"/>
              <w:ind w:left="3" w:right="0" w:firstLine="0"/>
              <w:jc w:val="center"/>
              <w:rPr>
                <w:highlight w:val="none"/>
              </w:rPr>
            </w:pPr>
            <w:r>
              <w:rPr>
                <w:highlight w:val="none"/>
              </w:rPr>
              <w:t>院级</w:t>
            </w:r>
          </w:p>
        </w:tc>
        <w:tc>
          <w:tcPr>
            <w:tcW w:w="1637" w:type="dxa"/>
            <w:tcBorders>
              <w:top w:val="single" w:color="000000" w:sz="4" w:space="0"/>
              <w:left w:val="single" w:color="000000" w:sz="4" w:space="0"/>
              <w:bottom w:val="single" w:color="000000" w:sz="4" w:space="0"/>
              <w:right w:val="single" w:color="000000" w:sz="4" w:space="0"/>
            </w:tcBorders>
          </w:tcPr>
          <w:p>
            <w:pPr>
              <w:spacing w:after="0" w:line="360" w:lineRule="auto"/>
              <w:ind w:left="11" w:right="0" w:firstLine="0"/>
              <w:jc w:val="center"/>
              <w:rPr>
                <w:highlight w:val="none"/>
              </w:rPr>
            </w:pPr>
            <w:r>
              <w:rPr>
                <w:highlight w:val="none"/>
              </w:rPr>
              <w:t>5</w:t>
            </w:r>
          </w:p>
        </w:tc>
        <w:tc>
          <w:tcPr>
            <w:tcW w:w="1563" w:type="dxa"/>
            <w:tcBorders>
              <w:top w:val="single" w:color="000000" w:sz="4" w:space="0"/>
              <w:left w:val="single" w:color="000000" w:sz="4" w:space="0"/>
              <w:bottom w:val="single" w:color="000000" w:sz="4" w:space="0"/>
              <w:right w:val="single" w:color="000000" w:sz="4" w:space="0"/>
            </w:tcBorders>
          </w:tcPr>
          <w:p>
            <w:pPr>
              <w:spacing w:after="0" w:line="360" w:lineRule="auto"/>
              <w:ind w:left="7" w:right="0" w:firstLine="0"/>
              <w:jc w:val="center"/>
              <w:rPr>
                <w:highlight w:val="none"/>
              </w:rPr>
            </w:pPr>
            <w:r>
              <w:rPr>
                <w:highlight w:val="none"/>
              </w:rPr>
              <w:t>4</w:t>
            </w:r>
          </w:p>
        </w:tc>
        <w:tc>
          <w:tcPr>
            <w:tcW w:w="1575" w:type="dxa"/>
            <w:tcBorders>
              <w:top w:val="single" w:color="000000" w:sz="4" w:space="0"/>
              <w:left w:val="single" w:color="000000" w:sz="4" w:space="0"/>
              <w:bottom w:val="single" w:color="000000" w:sz="4" w:space="0"/>
              <w:right w:val="single" w:color="000000" w:sz="4" w:space="0"/>
            </w:tcBorders>
          </w:tcPr>
          <w:p>
            <w:pPr>
              <w:spacing w:after="0" w:line="360" w:lineRule="auto"/>
              <w:ind w:left="9" w:right="0" w:firstLine="0"/>
              <w:jc w:val="center"/>
              <w:rPr>
                <w:highlight w:val="none"/>
              </w:rPr>
            </w:pPr>
            <w:r>
              <w:rPr>
                <w:highlight w:val="none"/>
              </w:rPr>
              <w:t>3</w:t>
            </w:r>
          </w:p>
        </w:tc>
        <w:tc>
          <w:tcPr>
            <w:tcW w:w="1476" w:type="dxa"/>
            <w:tcBorders>
              <w:top w:val="single" w:color="000000" w:sz="4" w:space="0"/>
              <w:left w:val="single" w:color="000000" w:sz="4" w:space="0"/>
              <w:bottom w:val="single" w:color="000000" w:sz="4" w:space="0"/>
              <w:right w:val="single" w:color="000000" w:sz="4" w:space="0"/>
            </w:tcBorders>
          </w:tcPr>
          <w:p>
            <w:pPr>
              <w:spacing w:after="0" w:line="360" w:lineRule="auto"/>
              <w:ind w:right="0" w:firstLine="0"/>
              <w:jc w:val="center"/>
              <w:rPr>
                <w:highlight w:val="none"/>
              </w:rPr>
            </w:pPr>
            <w:r>
              <w:rPr>
                <w:highlight w:val="none"/>
              </w:rPr>
              <w:t>-</w:t>
            </w:r>
          </w:p>
        </w:tc>
      </w:tr>
    </w:tbl>
    <w:p>
      <w:pPr>
        <w:spacing w:after="109" w:line="360" w:lineRule="auto"/>
        <w:ind w:right="13"/>
        <w:rPr>
          <w:sz w:val="28"/>
          <w:szCs w:val="28"/>
          <w:highlight w:val="none"/>
        </w:rPr>
      </w:pPr>
    </w:p>
    <w:p>
      <w:pPr>
        <w:spacing w:after="109" w:line="360" w:lineRule="auto"/>
        <w:ind w:right="13"/>
        <w:rPr>
          <w:sz w:val="28"/>
          <w:szCs w:val="28"/>
          <w:highlight w:val="none"/>
        </w:rPr>
      </w:pPr>
      <w:r>
        <w:rPr>
          <w:sz w:val="28"/>
          <w:szCs w:val="28"/>
          <w:highlight w:val="none"/>
        </w:rPr>
        <w:t>赋分说明：</w:t>
      </w:r>
    </w:p>
    <w:p>
      <w:pPr>
        <w:spacing w:line="360" w:lineRule="auto"/>
        <w:ind w:right="13"/>
        <w:rPr>
          <w:sz w:val="28"/>
          <w:szCs w:val="28"/>
          <w:highlight w:val="none"/>
        </w:rPr>
      </w:pPr>
      <w:r>
        <w:rPr>
          <w:rFonts w:hint="eastAsia"/>
          <w:sz w:val="28"/>
          <w:szCs w:val="28"/>
          <w:highlight w:val="none"/>
        </w:rPr>
        <w:t>（1）</w:t>
      </w:r>
      <w:r>
        <w:rPr>
          <w:sz w:val="28"/>
          <w:szCs w:val="28"/>
          <w:highlight w:val="none"/>
        </w:rPr>
        <w:t>文化活动泛指除专业学术活动（竞赛）、体育竞赛、美育展演外的征文比赛等各类提升学生身心健康和综合素养的活动。</w:t>
      </w:r>
    </w:p>
    <w:p>
      <w:pPr>
        <w:spacing w:line="360" w:lineRule="auto"/>
        <w:ind w:right="13"/>
        <w:rPr>
          <w:sz w:val="28"/>
          <w:szCs w:val="28"/>
          <w:highlight w:val="none"/>
        </w:rPr>
      </w:pPr>
      <w:r>
        <w:rPr>
          <w:rFonts w:hint="eastAsia"/>
          <w:sz w:val="28"/>
          <w:szCs w:val="28"/>
          <w:highlight w:val="none"/>
        </w:rPr>
        <w:t>（2）</w:t>
      </w:r>
      <w:r>
        <w:rPr>
          <w:sz w:val="28"/>
          <w:szCs w:val="28"/>
          <w:highlight w:val="none"/>
        </w:rPr>
        <w:t>团体项目为主要负责人的，根据表 9 的标准加分，其它成员根据表 9 的标准减半加分；如果不区分主次，参加者均按照所获奖项得分。寒暑期社会实践先进个人、优秀团队等单项荣誉按优秀奖级别加分。</w:t>
      </w:r>
    </w:p>
    <w:p>
      <w:pPr>
        <w:spacing w:after="170" w:line="360" w:lineRule="auto"/>
        <w:ind w:right="13"/>
        <w:rPr>
          <w:sz w:val="28"/>
          <w:szCs w:val="28"/>
          <w:highlight w:val="none"/>
        </w:rPr>
      </w:pPr>
      <w:r>
        <w:rPr>
          <w:sz w:val="28"/>
          <w:szCs w:val="28"/>
          <w:highlight w:val="none"/>
        </w:rPr>
        <w:t>（</w:t>
      </w:r>
      <w:r>
        <w:rPr>
          <w:rFonts w:hint="eastAsia"/>
          <w:sz w:val="28"/>
          <w:szCs w:val="28"/>
          <w:highlight w:val="none"/>
          <w:lang w:val="en-US" w:eastAsia="zh-CN"/>
        </w:rPr>
        <w:t>3</w:t>
      </w:r>
      <w:r>
        <w:rPr>
          <w:sz w:val="28"/>
          <w:szCs w:val="28"/>
          <w:highlight w:val="none"/>
        </w:rPr>
        <w:t>）为文娱演出或文体竞赛活动（含摄影、美术、演讲等竞赛）做服务工作者（含比赛裁判）并能提供相关佐证材料，每次加 1 分，每学年累计不超过10分。</w:t>
      </w:r>
    </w:p>
    <w:p>
      <w:pPr>
        <w:spacing w:after="268" w:line="240" w:lineRule="auto"/>
        <w:ind w:left="0" w:right="13" w:firstLine="0"/>
        <w:rPr>
          <w:sz w:val="28"/>
          <w:szCs w:val="28"/>
          <w:highlight w:val="none"/>
        </w:rPr>
      </w:pPr>
      <w:r>
        <w:rPr>
          <w:rFonts w:hint="eastAsia"/>
          <w:sz w:val="28"/>
          <w:szCs w:val="28"/>
          <w:highlight w:val="none"/>
        </w:rPr>
        <w:t>（三）</w:t>
      </w:r>
      <w:r>
        <w:rPr>
          <w:sz w:val="28"/>
          <w:szCs w:val="28"/>
          <w:highlight w:val="none"/>
        </w:rPr>
        <w:t>文体测评扣分</w:t>
      </w:r>
    </w:p>
    <w:p>
      <w:pPr>
        <w:spacing w:after="0" w:line="240" w:lineRule="auto"/>
        <w:ind w:left="190" w:right="58"/>
        <w:jc w:val="center"/>
        <w:rPr>
          <w:b/>
          <w:bCs/>
          <w:highlight w:val="none"/>
        </w:rPr>
      </w:pPr>
      <w:r>
        <w:rPr>
          <w:b/>
          <w:bCs/>
          <w:highlight w:val="none"/>
        </w:rPr>
        <w:t>表 10 文体扣分标准（单位：分）</w:t>
      </w:r>
    </w:p>
    <w:tbl>
      <w:tblPr>
        <w:tblStyle w:val="10"/>
        <w:tblW w:w="8301" w:type="dxa"/>
        <w:jc w:val="center"/>
        <w:tblLayout w:type="autofit"/>
        <w:tblCellMar>
          <w:top w:w="56" w:type="dxa"/>
          <w:left w:w="322" w:type="dxa"/>
          <w:bottom w:w="0" w:type="dxa"/>
          <w:right w:w="115" w:type="dxa"/>
        </w:tblCellMar>
      </w:tblPr>
      <w:tblGrid>
        <w:gridCol w:w="5862"/>
        <w:gridCol w:w="2439"/>
      </w:tblGrid>
      <w:tr>
        <w:tblPrEx>
          <w:tblCellMar>
            <w:top w:w="56" w:type="dxa"/>
            <w:left w:w="322" w:type="dxa"/>
            <w:bottom w:w="0" w:type="dxa"/>
            <w:right w:w="115" w:type="dxa"/>
          </w:tblCellMar>
        </w:tblPrEx>
        <w:trPr>
          <w:trHeight w:val="322" w:hRule="atLeast"/>
          <w:jc w:val="center"/>
        </w:trPr>
        <w:tc>
          <w:tcPr>
            <w:tcW w:w="5862" w:type="dxa"/>
            <w:tcBorders>
              <w:top w:val="single" w:color="000000" w:sz="4" w:space="0"/>
              <w:left w:val="single" w:color="000000" w:sz="4" w:space="0"/>
              <w:bottom w:val="single" w:color="000000" w:sz="4" w:space="0"/>
              <w:right w:val="single" w:color="000000" w:sz="4" w:space="0"/>
            </w:tcBorders>
          </w:tcPr>
          <w:p>
            <w:pPr>
              <w:spacing w:after="0" w:line="360" w:lineRule="auto"/>
              <w:ind w:left="0" w:right="195" w:firstLine="0"/>
              <w:jc w:val="center"/>
              <w:rPr>
                <w:b/>
                <w:bCs/>
                <w:highlight w:val="none"/>
              </w:rPr>
            </w:pPr>
            <w:r>
              <w:rPr>
                <w:b/>
                <w:bCs/>
                <w:highlight w:val="none"/>
              </w:rPr>
              <w:t>扣分内容</w:t>
            </w:r>
          </w:p>
        </w:tc>
        <w:tc>
          <w:tcPr>
            <w:tcW w:w="2439" w:type="dxa"/>
            <w:tcBorders>
              <w:top w:val="single" w:color="000000" w:sz="4" w:space="0"/>
              <w:left w:val="single" w:color="000000" w:sz="4" w:space="0"/>
              <w:bottom w:val="single" w:color="000000" w:sz="4" w:space="0"/>
              <w:right w:val="single" w:color="000000" w:sz="4" w:space="0"/>
            </w:tcBorders>
          </w:tcPr>
          <w:p>
            <w:pPr>
              <w:spacing w:after="0" w:line="360" w:lineRule="auto"/>
              <w:ind w:left="0" w:right="197" w:firstLine="0"/>
              <w:jc w:val="center"/>
              <w:rPr>
                <w:b/>
                <w:bCs/>
                <w:highlight w:val="none"/>
              </w:rPr>
            </w:pPr>
            <w:r>
              <w:rPr>
                <w:b/>
                <w:bCs/>
                <w:highlight w:val="none"/>
              </w:rPr>
              <w:t>扣分</w:t>
            </w:r>
          </w:p>
        </w:tc>
      </w:tr>
      <w:tr>
        <w:tblPrEx>
          <w:tblCellMar>
            <w:top w:w="56" w:type="dxa"/>
            <w:left w:w="322" w:type="dxa"/>
            <w:bottom w:w="0" w:type="dxa"/>
            <w:right w:w="115" w:type="dxa"/>
          </w:tblCellMar>
        </w:tblPrEx>
        <w:trPr>
          <w:trHeight w:val="184" w:hRule="atLeast"/>
          <w:jc w:val="center"/>
        </w:trPr>
        <w:tc>
          <w:tcPr>
            <w:tcW w:w="5862"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不参加统一要求的文体活动</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right="0" w:firstLine="0"/>
              <w:jc w:val="center"/>
              <w:rPr>
                <w:highlight w:val="none"/>
              </w:rPr>
            </w:pPr>
            <w:r>
              <w:rPr>
                <w:highlight w:val="none"/>
              </w:rPr>
              <w:t>2（每人每次）</w:t>
            </w:r>
          </w:p>
        </w:tc>
      </w:tr>
      <w:tr>
        <w:tblPrEx>
          <w:tblCellMar>
            <w:top w:w="56" w:type="dxa"/>
            <w:left w:w="322" w:type="dxa"/>
            <w:bottom w:w="0" w:type="dxa"/>
            <w:right w:w="115" w:type="dxa"/>
          </w:tblCellMar>
        </w:tblPrEx>
        <w:trPr>
          <w:trHeight w:val="214" w:hRule="atLeast"/>
          <w:jc w:val="center"/>
        </w:trPr>
        <w:tc>
          <w:tcPr>
            <w:tcW w:w="5862"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不参加统一要求的文体活动并造成严重后果</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right="0" w:firstLine="0"/>
              <w:jc w:val="center"/>
              <w:rPr>
                <w:highlight w:val="none"/>
              </w:rPr>
            </w:pPr>
            <w:r>
              <w:rPr>
                <w:highlight w:val="none"/>
              </w:rPr>
              <w:t>3-10（每人每次）</w:t>
            </w:r>
          </w:p>
        </w:tc>
      </w:tr>
      <w:tr>
        <w:tblPrEx>
          <w:tblCellMar>
            <w:top w:w="56" w:type="dxa"/>
            <w:left w:w="322" w:type="dxa"/>
            <w:bottom w:w="0" w:type="dxa"/>
            <w:right w:w="115" w:type="dxa"/>
          </w:tblCellMar>
        </w:tblPrEx>
        <w:trPr>
          <w:trHeight w:val="322" w:hRule="atLeast"/>
          <w:jc w:val="center"/>
        </w:trPr>
        <w:tc>
          <w:tcPr>
            <w:tcW w:w="5862"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不参加达标测试（经批准免修体育课者除外）或不合格</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right="0" w:firstLine="0"/>
              <w:jc w:val="center"/>
              <w:rPr>
                <w:highlight w:val="none"/>
              </w:rPr>
            </w:pPr>
            <w:r>
              <w:rPr>
                <w:highlight w:val="none"/>
              </w:rPr>
              <w:t>5</w:t>
            </w:r>
          </w:p>
        </w:tc>
      </w:tr>
      <w:tr>
        <w:tblPrEx>
          <w:tblCellMar>
            <w:top w:w="56" w:type="dxa"/>
            <w:left w:w="322" w:type="dxa"/>
            <w:bottom w:w="0" w:type="dxa"/>
            <w:right w:w="115" w:type="dxa"/>
          </w:tblCellMar>
        </w:tblPrEx>
        <w:trPr>
          <w:trHeight w:val="322" w:hRule="atLeast"/>
          <w:jc w:val="center"/>
        </w:trPr>
        <w:tc>
          <w:tcPr>
            <w:tcW w:w="5862"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早操缺席</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right="0" w:firstLine="0"/>
              <w:jc w:val="center"/>
              <w:rPr>
                <w:highlight w:val="none"/>
              </w:rPr>
            </w:pPr>
            <w:r>
              <w:rPr>
                <w:highlight w:val="none"/>
              </w:rPr>
              <w:t>1（每人每次）</w:t>
            </w:r>
          </w:p>
        </w:tc>
      </w:tr>
      <w:tr>
        <w:tblPrEx>
          <w:tblCellMar>
            <w:top w:w="56" w:type="dxa"/>
            <w:left w:w="322" w:type="dxa"/>
            <w:bottom w:w="0" w:type="dxa"/>
            <w:right w:w="115" w:type="dxa"/>
          </w:tblCellMar>
        </w:tblPrEx>
        <w:trPr>
          <w:trHeight w:val="322" w:hRule="atLeast"/>
          <w:jc w:val="center"/>
        </w:trPr>
        <w:tc>
          <w:tcPr>
            <w:tcW w:w="5862"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早操迟到</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right="0" w:firstLine="0"/>
              <w:jc w:val="center"/>
              <w:rPr>
                <w:highlight w:val="none"/>
              </w:rPr>
            </w:pPr>
            <w:r>
              <w:rPr>
                <w:highlight w:val="none"/>
              </w:rPr>
              <w:t>0.5（每人每次）</w:t>
            </w:r>
          </w:p>
        </w:tc>
      </w:tr>
      <w:tr>
        <w:tblPrEx>
          <w:tblCellMar>
            <w:top w:w="56" w:type="dxa"/>
            <w:left w:w="322" w:type="dxa"/>
            <w:bottom w:w="0" w:type="dxa"/>
            <w:right w:w="115" w:type="dxa"/>
          </w:tblCellMar>
        </w:tblPrEx>
        <w:trPr>
          <w:trHeight w:val="321" w:hRule="atLeast"/>
          <w:jc w:val="center"/>
        </w:trPr>
        <w:tc>
          <w:tcPr>
            <w:tcW w:w="5862" w:type="dxa"/>
            <w:tcBorders>
              <w:top w:val="single" w:color="000000" w:sz="4" w:space="0"/>
              <w:left w:val="single" w:color="000000" w:sz="4" w:space="0"/>
              <w:bottom w:val="single" w:color="000000" w:sz="4" w:space="0"/>
              <w:right w:val="single" w:color="000000" w:sz="4" w:space="0"/>
            </w:tcBorders>
          </w:tcPr>
          <w:p>
            <w:pPr>
              <w:spacing w:after="0" w:line="360" w:lineRule="auto"/>
              <w:ind w:left="0" w:right="0" w:firstLine="0"/>
              <w:rPr>
                <w:highlight w:val="none"/>
              </w:rPr>
            </w:pPr>
            <w:r>
              <w:rPr>
                <w:highlight w:val="none"/>
              </w:rPr>
              <w:t>违反有关竞赛纪律</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right="0" w:firstLine="0"/>
              <w:jc w:val="center"/>
              <w:rPr>
                <w:highlight w:val="none"/>
              </w:rPr>
            </w:pPr>
            <w:r>
              <w:rPr>
                <w:highlight w:val="none"/>
              </w:rPr>
              <w:t>10（每人每次）</w:t>
            </w:r>
          </w:p>
        </w:tc>
      </w:tr>
    </w:tbl>
    <w:p>
      <w:pPr>
        <w:spacing w:after="121" w:line="360" w:lineRule="auto"/>
        <w:ind w:left="210" w:leftChars="100" w:right="13" w:firstLine="548" w:firstLineChars="195"/>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第十一条</w:t>
      </w:r>
      <w:r>
        <w:rPr>
          <w:rFonts w:hint="eastAsia" w:ascii="宋体" w:hAnsi="宋体" w:eastAsia="宋体" w:cs="宋体"/>
          <w:sz w:val="28"/>
          <w:szCs w:val="28"/>
          <w:highlight w:val="none"/>
        </w:rPr>
        <w:t xml:space="preserve"> 在文体活动以及专业（学科）竞赛中，获得最具人气奖、优秀志愿者、优秀选手、优秀裁判员等非竞赛等级称号，统一按文体测评中参加者、参赛奖、优秀奖对应分值+1计分。体育和美育竞赛和活动由艺体类学院根据专业特点自行确定加分性质。</w:t>
      </w:r>
    </w:p>
    <w:p>
      <w:pPr>
        <w:spacing w:after="131" w:line="360" w:lineRule="auto"/>
        <w:ind w:left="210" w:leftChars="100" w:right="13" w:firstLine="548" w:firstLineChars="195"/>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第十二条</w:t>
      </w:r>
      <w:r>
        <w:rPr>
          <w:rFonts w:hint="eastAsia" w:ascii="宋体" w:hAnsi="宋体" w:eastAsia="宋体" w:cs="宋体"/>
          <w:sz w:val="28"/>
          <w:szCs w:val="28"/>
          <w:highlight w:val="none"/>
        </w:rPr>
        <w:t xml:space="preserve"> 在参评学年内因同一事由多次获奖的，得分只计一次，且计最高级别得分。</w:t>
      </w:r>
    </w:p>
    <w:p>
      <w:pPr>
        <w:spacing w:after="131" w:line="360" w:lineRule="auto"/>
        <w:ind w:left="210" w:leftChars="100" w:right="13" w:firstLine="548" w:firstLineChars="195"/>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第十三条</w:t>
      </w:r>
      <w:r>
        <w:rPr>
          <w:rFonts w:hint="eastAsia" w:ascii="宋体" w:hAnsi="宋体" w:eastAsia="宋体" w:cs="宋体"/>
          <w:sz w:val="28"/>
          <w:szCs w:val="28"/>
          <w:highlight w:val="none"/>
        </w:rPr>
        <w:t xml:space="preserve"> 相关工作说明</w:t>
      </w:r>
    </w:p>
    <w:p>
      <w:pPr>
        <w:spacing w:after="125" w:line="360" w:lineRule="auto"/>
        <w:ind w:left="210" w:leftChars="100" w:right="13" w:firstLine="546" w:firstLineChars="195"/>
        <w:rPr>
          <w:rFonts w:hint="eastAsia" w:ascii="宋体" w:hAnsi="宋体" w:eastAsia="宋体" w:cs="宋体"/>
          <w:sz w:val="28"/>
          <w:szCs w:val="28"/>
          <w:highlight w:val="none"/>
        </w:rPr>
      </w:pPr>
      <w:r>
        <w:rPr>
          <w:rFonts w:hint="eastAsia" w:ascii="宋体" w:hAnsi="宋体" w:eastAsia="宋体" w:cs="宋体"/>
          <w:sz w:val="28"/>
          <w:szCs w:val="28"/>
          <w:highlight w:val="none"/>
        </w:rPr>
        <w:t>1.佐证材料时效认定。佐证材料落款时间在9月1日—次年8月31日区间的，计入该学年综合测评；未及时下发证书的，需提供活动举办单位出具的总获奖名单，并加盖公章；逾期提交的佐证材料，当年测评不予认定。</w:t>
      </w:r>
    </w:p>
    <w:p>
      <w:pPr>
        <w:spacing w:after="418" w:line="360" w:lineRule="auto"/>
        <w:ind w:left="210" w:leftChars="100" w:right="13" w:firstLine="546" w:firstLineChars="195"/>
        <w:rPr>
          <w:rFonts w:hint="eastAsia" w:ascii="宋体" w:hAnsi="宋体" w:eastAsia="宋体" w:cs="宋体"/>
          <w:sz w:val="28"/>
          <w:szCs w:val="28"/>
          <w:highlight w:val="none"/>
        </w:rPr>
      </w:pPr>
      <w:r>
        <w:rPr>
          <w:rFonts w:hint="eastAsia" w:ascii="宋体" w:hAnsi="宋体" w:eastAsia="宋体" w:cs="宋体"/>
          <w:sz w:val="28"/>
          <w:szCs w:val="28"/>
          <w:highlight w:val="none"/>
        </w:rPr>
        <w:t>2.社团活动级别认定。校内注册社团颁发的证书，且盖有共青团沈阳师范大学委员会公章的，认定为校级；校内注册社团颁发的证书，但以校内二级单位为依托单位的社团颁发的证书，且盖有依托单位公章的，认定为院级；只有社团章、大学生社团联合会、校学生会章的，不予认定。</w:t>
      </w:r>
    </w:p>
    <w:p>
      <w:pPr>
        <w:pStyle w:val="2"/>
        <w:spacing w:line="360" w:lineRule="auto"/>
        <w:ind w:right="278"/>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第三章 实施办法</w:t>
      </w:r>
    </w:p>
    <w:p>
      <w:pPr>
        <w:spacing w:after="136" w:line="360" w:lineRule="auto"/>
        <w:ind w:left="210" w:leftChars="100" w:right="13" w:firstLine="267" w:firstLineChars="95"/>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第十四条</w:t>
      </w:r>
      <w:r>
        <w:rPr>
          <w:rFonts w:hint="eastAsia" w:ascii="宋体" w:hAnsi="宋体" w:eastAsia="宋体" w:cs="宋体"/>
          <w:sz w:val="28"/>
          <w:szCs w:val="28"/>
          <w:highlight w:val="none"/>
        </w:rPr>
        <w:t xml:space="preserve"> 综合素质测评工作由学校统一领导和部署，领导小组由主管学生工作校领导</w:t>
      </w:r>
    </w:p>
    <w:p>
      <w:pPr>
        <w:spacing w:line="360" w:lineRule="auto"/>
        <w:ind w:left="149" w:right="13"/>
        <w:rPr>
          <w:rFonts w:hint="eastAsia" w:ascii="宋体" w:hAnsi="宋体" w:eastAsia="宋体" w:cs="宋体"/>
          <w:sz w:val="28"/>
          <w:szCs w:val="28"/>
          <w:highlight w:val="none"/>
        </w:rPr>
      </w:pPr>
      <w:r>
        <w:rPr>
          <w:rFonts w:hint="eastAsia" w:ascii="宋体" w:hAnsi="宋体" w:eastAsia="宋体" w:cs="宋体"/>
          <w:sz w:val="28"/>
          <w:szCs w:val="28"/>
          <w:highlight w:val="none"/>
        </w:rPr>
        <w:t>担任组长，学生处、教务处、科研处、校团委负责人，以及各学院主管学生工作副书记组成，成员包括各年级辅导员和学生代表。各学院相应成立领导小组并负责组织实施。</w:t>
      </w:r>
    </w:p>
    <w:p>
      <w:pPr>
        <w:numPr>
          <w:ilvl w:val="0"/>
          <w:numId w:val="0"/>
        </w:numPr>
        <w:spacing w:after="188" w:line="360" w:lineRule="auto"/>
        <w:ind w:right="13" w:rightChars="0"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 xml:space="preserve">第十五条 </w:t>
      </w:r>
      <w:r>
        <w:rPr>
          <w:rFonts w:hint="eastAsia" w:ascii="宋体" w:hAnsi="宋体" w:eastAsia="宋体" w:cs="宋体"/>
          <w:sz w:val="28"/>
          <w:szCs w:val="28"/>
          <w:highlight w:val="none"/>
        </w:rPr>
        <w:t>学生综合素质测评每学年进行一次，测评工作在每学年开学后三周内完成。</w:t>
      </w:r>
    </w:p>
    <w:p>
      <w:pPr>
        <w:numPr>
          <w:ilvl w:val="0"/>
          <w:numId w:val="0"/>
        </w:numPr>
        <w:spacing w:after="188" w:line="360" w:lineRule="auto"/>
        <w:ind w:right="13" w:rightChars="0"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第十六条</w:t>
      </w:r>
      <w:r>
        <w:rPr>
          <w:rFonts w:hint="eastAsia" w:ascii="宋体" w:hAnsi="宋体" w:eastAsia="宋体" w:cs="宋体"/>
          <w:sz w:val="28"/>
          <w:szCs w:val="28"/>
          <w:highlight w:val="none"/>
        </w:rPr>
        <w:t xml:space="preserve"> 综合素质测评时间段为上一学年起始日至本学年起始日前一天，在此期间发放的证书可按照对应标准进行加分。如出现在综合素质测评时间段内产生加分内容，但证书未在此时间段内发放，可按照公示时间进行加分。</w:t>
      </w:r>
    </w:p>
    <w:p>
      <w:pPr>
        <w:spacing w:after="136" w:line="360" w:lineRule="auto"/>
        <w:ind w:left="210" w:leftChars="100" w:right="13" w:firstLine="267" w:firstLineChars="95"/>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第十七条</w:t>
      </w:r>
      <w:r>
        <w:rPr>
          <w:rFonts w:hint="eastAsia" w:ascii="宋体" w:hAnsi="宋体" w:eastAsia="宋体" w:cs="宋体"/>
          <w:sz w:val="28"/>
          <w:szCs w:val="28"/>
          <w:highlight w:val="none"/>
        </w:rPr>
        <w:t xml:space="preserve"> 综合素质测评采取个人自评申报、学生测评小组初评、辅导员审核、学院本</w:t>
      </w:r>
    </w:p>
    <w:p>
      <w:pPr>
        <w:spacing w:after="125" w:line="360" w:lineRule="auto"/>
        <w:ind w:left="149" w:right="13"/>
        <w:rPr>
          <w:rFonts w:hint="eastAsia" w:ascii="宋体" w:hAnsi="宋体" w:eastAsia="宋体" w:cs="宋体"/>
          <w:sz w:val="28"/>
          <w:szCs w:val="28"/>
          <w:highlight w:val="none"/>
        </w:rPr>
      </w:pPr>
      <w:r>
        <w:rPr>
          <w:rFonts w:hint="eastAsia" w:ascii="宋体" w:hAnsi="宋体" w:eastAsia="宋体" w:cs="宋体"/>
          <w:sz w:val="28"/>
          <w:szCs w:val="28"/>
          <w:highlight w:val="none"/>
        </w:rPr>
        <w:t>科学生综合素质测评工作领导小组复核、批准、公示、报学生处审核备案的程序进行。</w:t>
      </w:r>
    </w:p>
    <w:p>
      <w:pPr>
        <w:spacing w:after="125" w:line="360" w:lineRule="auto"/>
        <w:ind w:left="210" w:leftChars="100" w:right="13" w:firstLine="266" w:firstLineChars="95"/>
        <w:rPr>
          <w:rFonts w:hint="eastAsia" w:ascii="宋体" w:hAnsi="宋体" w:eastAsia="宋体" w:cs="宋体"/>
          <w:sz w:val="28"/>
          <w:szCs w:val="28"/>
          <w:highlight w:val="none"/>
        </w:rPr>
      </w:pPr>
      <w:r>
        <w:rPr>
          <w:rFonts w:hint="eastAsia" w:ascii="宋体" w:hAnsi="宋体" w:eastAsia="宋体" w:cs="宋体"/>
          <w:sz w:val="28"/>
          <w:szCs w:val="28"/>
          <w:highlight w:val="none"/>
        </w:rPr>
        <w:t>（一）学生个人根据测评标准进行自评，对加减分项目出具有关证明材料，进行个人自评申报。</w:t>
      </w:r>
    </w:p>
    <w:p>
      <w:pPr>
        <w:spacing w:line="360" w:lineRule="auto"/>
        <w:ind w:left="0" w:right="13"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学院成立学生测评小组，其成员由辅导员、院学生会学习部成员、班级学习委员及各年级一名学生代表组成。各班学习委员负责收取学生证明材料上交学生测评小组，学生测评小组负责填写综合素质测评表中的成绩，计算总分及平均分，并对学生个人自评材料予以初评。凡符合测评规定的予以确定，不符合规定的予以变更。测评小组负责记录、核准本院学生年度综合素质表现的加分及扣分项，并对此负有举证责任。初评结果须由学生本人签字确认无误后向各年级同学公布。无异议后由学院学生测评小组按初评结果填写综合素质测评表。</w:t>
      </w:r>
    </w:p>
    <w:p>
      <w:pPr>
        <w:spacing w:line="360" w:lineRule="auto"/>
        <w:ind w:left="0" w:right="13"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（三）学院学生测评小组将填写好的综合素质测评表，报辅导员审核，审核合格后报学院综合素质测评工作领导小组进行复核、批准。</w:t>
      </w:r>
    </w:p>
    <w:p>
      <w:pPr>
        <w:spacing w:line="360" w:lineRule="auto"/>
        <w:ind w:left="139" w:right="13" w:firstLine="42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第十八条</w:t>
      </w:r>
      <w:r>
        <w:rPr>
          <w:rFonts w:hint="eastAsia" w:ascii="宋体" w:hAnsi="宋体" w:eastAsia="宋体" w:cs="宋体"/>
          <w:sz w:val="28"/>
          <w:szCs w:val="28"/>
          <w:highlight w:val="none"/>
        </w:rPr>
        <w:t xml:space="preserve"> 经学院本科学生综合素质测评工作领导小组批准后，学院将最终的测评结果在本学院进行为期五个工作日的公示，如无异议报学生处审核。</w:t>
      </w:r>
    </w:p>
    <w:p>
      <w:pPr>
        <w:spacing w:line="360" w:lineRule="auto"/>
        <w:ind w:left="210" w:leftChars="100" w:right="13" w:firstLine="548" w:firstLineChars="195"/>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第十九条</w:t>
      </w:r>
      <w:r>
        <w:rPr>
          <w:rFonts w:hint="eastAsia" w:ascii="宋体" w:hAnsi="宋体" w:eastAsia="宋体" w:cs="宋体"/>
          <w:sz w:val="28"/>
          <w:szCs w:val="28"/>
          <w:highlight w:val="none"/>
        </w:rPr>
        <w:t xml:space="preserve"> 学生处对上报结果进行审核后在全校范围内进行为期不少于 5 个工作日的公示，无异议后进行备案。</w:t>
      </w:r>
    </w:p>
    <w:p>
      <w:pPr>
        <w:spacing w:after="133" w:line="360" w:lineRule="auto"/>
        <w:ind w:left="210" w:leftChars="100" w:right="442" w:firstLine="548" w:firstLineChars="195"/>
        <w:jc w:val="both"/>
        <w:rPr>
          <w:rFonts w:hint="eastAsia" w:ascii="宋体" w:hAnsi="宋体" w:eastAsia="宋体" w:cs="宋体"/>
          <w:sz w:val="28"/>
          <w:szCs w:val="28"/>
          <w:highlight w:val="none"/>
        </w:rPr>
      </w:pPr>
      <w:r>
        <w:rPr>
          <w:rFonts w:hint="eastAsia" w:ascii="宋体" w:hAnsi="宋体" w:eastAsia="宋体" w:cs="宋体"/>
          <w:b/>
          <w:bCs/>
          <w:sz w:val="28"/>
          <w:szCs w:val="28"/>
          <w:highlight w:val="none"/>
        </w:rPr>
        <w:t>第二十条</w:t>
      </w:r>
      <w:r>
        <w:rPr>
          <w:rFonts w:hint="eastAsia" w:ascii="宋体" w:hAnsi="宋体" w:eastAsia="宋体" w:cs="宋体"/>
          <w:sz w:val="28"/>
          <w:szCs w:val="28"/>
          <w:highlight w:val="none"/>
        </w:rPr>
        <w:t xml:space="preserve"> 各级测评机构应本着实事求是的态度进行认真评议、审核；学校各相关部门应如实出具证明材料，保证综合素质测评工作的公正性和严肃性。学生在申报时应实事求是，如发现并查实有弄虚作假行为，将根据情节给予批评教育直至纪律处分。</w:t>
      </w:r>
    </w:p>
    <w:p>
      <w:pPr>
        <w:spacing w:after="260" w:line="360" w:lineRule="auto"/>
        <w:ind w:left="578" w:right="13"/>
        <w:rPr>
          <w:rFonts w:hint="eastAsia" w:ascii="宋体" w:hAnsi="宋体" w:eastAsia="宋体" w:cs="宋体"/>
          <w:sz w:val="28"/>
          <w:szCs w:val="28"/>
          <w:highlight w:val="none"/>
        </w:rPr>
      </w:pPr>
      <w:r>
        <w:rPr>
          <w:rFonts w:hint="eastAsia" w:ascii="宋体" w:hAnsi="宋体" w:eastAsia="宋体" w:cs="宋体"/>
          <w:b/>
          <w:bCs/>
          <w:sz w:val="28"/>
          <w:szCs w:val="28"/>
          <w:highlight w:val="none"/>
        </w:rPr>
        <w:t>第二十一条</w:t>
      </w:r>
      <w:r>
        <w:rPr>
          <w:rFonts w:hint="eastAsia" w:ascii="宋体" w:hAnsi="宋体" w:eastAsia="宋体" w:cs="宋体"/>
          <w:sz w:val="28"/>
          <w:szCs w:val="28"/>
          <w:highlight w:val="none"/>
        </w:rPr>
        <w:t xml:space="preserve"> 学院将本办法向学生处报备。</w:t>
      </w:r>
    </w:p>
    <w:p>
      <w:pPr>
        <w:spacing w:after="260" w:line="360" w:lineRule="auto"/>
        <w:ind w:left="578" w:right="13"/>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第四章 附则</w:t>
      </w:r>
    </w:p>
    <w:p>
      <w:pPr>
        <w:keepNext w:val="0"/>
        <w:keepLines w:val="0"/>
        <w:widowControl/>
        <w:suppressLineNumbers w:val="0"/>
        <w:ind w:left="208" w:leftChars="99" w:firstLine="548" w:firstLineChars="195"/>
        <w:jc w:val="left"/>
        <w:rPr>
          <w:rFonts w:hint="eastAsia" w:ascii="宋体" w:hAnsi="宋体" w:eastAsia="宋体" w:cs="宋体"/>
          <w:sz w:val="28"/>
          <w:szCs w:val="28"/>
          <w:highlight w:val="none"/>
        </w:rPr>
      </w:pPr>
      <w:r>
        <w:rPr>
          <w:rFonts w:hint="eastAsia" w:ascii="宋体" w:hAnsi="宋体" w:eastAsia="宋体" w:cs="宋体"/>
          <w:b/>
          <w:bCs/>
          <w:color w:val="000000"/>
          <w:kern w:val="0"/>
          <w:sz w:val="28"/>
          <w:szCs w:val="28"/>
          <w:highlight w:val="none"/>
          <w:lang w:val="en-US" w:eastAsia="zh-CN"/>
        </w:rPr>
        <w:t xml:space="preserve">第二十二条 </w:t>
      </w:r>
      <w:r>
        <w:rPr>
          <w:rFonts w:hint="eastAsia" w:ascii="宋体" w:hAnsi="宋体" w:eastAsia="宋体" w:cs="宋体"/>
          <w:color w:val="000000"/>
          <w:kern w:val="0"/>
          <w:sz w:val="28"/>
          <w:szCs w:val="28"/>
          <w:highlight w:val="none"/>
          <w:lang w:val="en-US" w:eastAsia="zh-CN"/>
        </w:rPr>
        <w:t>本办法自 2024年 3月1日起施行，</w:t>
      </w:r>
      <w:r>
        <w:rPr>
          <w:rFonts w:hint="eastAsia" w:cs="宋体"/>
          <w:color w:val="000000"/>
          <w:kern w:val="0"/>
          <w:sz w:val="28"/>
          <w:szCs w:val="28"/>
          <w:highlight w:val="none"/>
          <w:lang w:val="en-US" w:eastAsia="zh-CN"/>
        </w:rPr>
        <w:t>原《沈阳师范大</w:t>
      </w:r>
      <w:bookmarkStart w:id="0" w:name="_GoBack"/>
      <w:bookmarkEnd w:id="0"/>
      <w:r>
        <w:rPr>
          <w:rFonts w:hint="eastAsia" w:cs="宋体"/>
          <w:color w:val="000000"/>
          <w:kern w:val="0"/>
          <w:sz w:val="28"/>
          <w:szCs w:val="28"/>
          <w:highlight w:val="none"/>
          <w:lang w:val="en-US" w:eastAsia="zh-CN"/>
        </w:rPr>
        <w:t>学马克思主义学院本科学生综合素质测评办法》（2021年6月30日修订）同时废止。</w:t>
      </w:r>
      <w:r>
        <w:rPr>
          <w:rFonts w:hint="eastAsia" w:ascii="宋体" w:hAnsi="宋体" w:eastAsia="宋体" w:cs="宋体"/>
          <w:color w:val="000000"/>
          <w:kern w:val="0"/>
          <w:sz w:val="28"/>
          <w:szCs w:val="28"/>
          <w:highlight w:val="none"/>
          <w:lang w:val="en-US" w:eastAsia="zh-CN"/>
        </w:rPr>
        <w:t>其他与本办法</w:t>
      </w:r>
      <w:r>
        <w:rPr>
          <w:rFonts w:hint="eastAsia" w:cs="宋体"/>
          <w:color w:val="000000"/>
          <w:kern w:val="0"/>
          <w:sz w:val="28"/>
          <w:szCs w:val="28"/>
          <w:highlight w:val="none"/>
          <w:lang w:val="en-US" w:eastAsia="zh-CN"/>
        </w:rPr>
        <w:t>不一致的，</w:t>
      </w:r>
      <w:r>
        <w:rPr>
          <w:rFonts w:hint="eastAsia" w:ascii="宋体" w:hAnsi="宋体" w:eastAsia="宋体" w:cs="宋体"/>
          <w:color w:val="000000"/>
          <w:kern w:val="0"/>
          <w:sz w:val="28"/>
          <w:szCs w:val="28"/>
          <w:highlight w:val="none"/>
          <w:lang w:val="en-US" w:eastAsia="zh-CN"/>
        </w:rPr>
        <w:t xml:space="preserve">以本办法为准。 </w:t>
      </w:r>
    </w:p>
    <w:p>
      <w:pPr>
        <w:keepNext w:val="0"/>
        <w:keepLines w:val="0"/>
        <w:widowControl/>
        <w:suppressLineNumbers w:val="0"/>
        <w:ind w:left="208" w:leftChars="99" w:firstLine="548" w:firstLineChars="195"/>
        <w:jc w:val="left"/>
        <w:rPr>
          <w:rFonts w:hint="eastAsia" w:ascii="宋体" w:hAnsi="宋体" w:eastAsia="宋体" w:cs="宋体"/>
          <w:sz w:val="28"/>
          <w:szCs w:val="28"/>
          <w:highlight w:val="none"/>
        </w:rPr>
      </w:pPr>
      <w:r>
        <w:rPr>
          <w:rFonts w:hint="eastAsia" w:ascii="宋体" w:hAnsi="宋体" w:eastAsia="宋体" w:cs="宋体"/>
          <w:b/>
          <w:bCs/>
          <w:color w:val="000000"/>
          <w:kern w:val="0"/>
          <w:sz w:val="28"/>
          <w:szCs w:val="28"/>
          <w:highlight w:val="none"/>
          <w:lang w:val="en-US" w:eastAsia="zh-CN"/>
        </w:rPr>
        <w:t xml:space="preserve">第二十三条 </w:t>
      </w:r>
      <w:r>
        <w:rPr>
          <w:rFonts w:hint="eastAsia" w:ascii="宋体" w:hAnsi="宋体" w:eastAsia="宋体" w:cs="宋体"/>
          <w:color w:val="000000"/>
          <w:kern w:val="0"/>
          <w:sz w:val="28"/>
          <w:szCs w:val="28"/>
          <w:highlight w:val="none"/>
          <w:lang w:val="en-US" w:eastAsia="zh-CN"/>
        </w:rPr>
        <w:t>本办法由马克思主义学院负责解释。</w:t>
      </w:r>
    </w:p>
    <w:p>
      <w:pPr>
        <w:spacing w:after="133" w:line="240" w:lineRule="auto"/>
        <w:ind w:right="429"/>
        <w:jc w:val="right"/>
        <w:rPr>
          <w:rFonts w:hint="eastAsia" w:ascii="宋体" w:hAnsi="宋体" w:eastAsia="宋体" w:cs="宋体"/>
          <w:sz w:val="28"/>
          <w:szCs w:val="28"/>
          <w:highlight w:val="none"/>
        </w:rPr>
      </w:pPr>
    </w:p>
    <w:p>
      <w:pPr>
        <w:keepNext w:val="0"/>
        <w:keepLines w:val="0"/>
        <w:widowControl/>
        <w:suppressLineNumbers w:val="0"/>
        <w:ind w:left="208" w:leftChars="99" w:firstLine="4740" w:firstLineChars="1693"/>
        <w:jc w:val="left"/>
        <w:rPr>
          <w:rFonts w:hint="default" w:cs="宋体"/>
          <w:color w:val="000000"/>
          <w:kern w:val="0"/>
          <w:sz w:val="28"/>
          <w:szCs w:val="28"/>
          <w:highlight w:val="none"/>
          <w:lang w:val="en-US" w:eastAsia="zh-CN"/>
        </w:rPr>
      </w:pPr>
      <w:r>
        <w:rPr>
          <w:rFonts w:hint="eastAsia" w:cs="宋体"/>
          <w:color w:val="000000"/>
          <w:kern w:val="0"/>
          <w:sz w:val="28"/>
          <w:szCs w:val="28"/>
          <w:highlight w:val="none"/>
          <w:lang w:val="en-US" w:eastAsia="zh-CN"/>
        </w:rPr>
        <w:t>沈阳师范大学马克思主义学院</w:t>
      </w:r>
    </w:p>
    <w:sectPr>
      <w:footerReference r:id="rId5" w:type="default"/>
      <w:footerReference r:id="rId6" w:type="even"/>
      <w:pgSz w:w="11910" w:h="16840"/>
      <w:pgMar w:top="1417" w:right="1417" w:bottom="1417" w:left="1417" w:header="72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92"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92"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5" w:lineRule="auto"/>
      </w:pPr>
      <w:r>
        <w:separator/>
      </w:r>
    </w:p>
  </w:footnote>
  <w:footnote w:type="continuationSeparator" w:id="1">
    <w:p>
      <w:pPr>
        <w:spacing w:before="0" w:after="0" w:line="3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613BA"/>
    <w:multiLevelType w:val="singleLevel"/>
    <w:tmpl w:val="A6D613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zMzJlYjkxODliZGM4Nzk4MGQ5ZjQ3ZmQyMjgzMTMifQ=="/>
  </w:docVars>
  <w:rsids>
    <w:rsidRoot w:val="00000000"/>
    <w:rsid w:val="010A6538"/>
    <w:rsid w:val="04C35575"/>
    <w:rsid w:val="058F5676"/>
    <w:rsid w:val="06565D7C"/>
    <w:rsid w:val="088F6BB2"/>
    <w:rsid w:val="0B6C459F"/>
    <w:rsid w:val="0DD57ECE"/>
    <w:rsid w:val="0FF96B9A"/>
    <w:rsid w:val="11A71147"/>
    <w:rsid w:val="135E2714"/>
    <w:rsid w:val="14EA24B1"/>
    <w:rsid w:val="169F72CB"/>
    <w:rsid w:val="16AE443D"/>
    <w:rsid w:val="174003C4"/>
    <w:rsid w:val="1A475CB0"/>
    <w:rsid w:val="1ACC1465"/>
    <w:rsid w:val="1ADD03C2"/>
    <w:rsid w:val="1E5E7A6C"/>
    <w:rsid w:val="21F20BF7"/>
    <w:rsid w:val="28700AC7"/>
    <w:rsid w:val="29C9048F"/>
    <w:rsid w:val="2CE13D42"/>
    <w:rsid w:val="2D656721"/>
    <w:rsid w:val="31E56082"/>
    <w:rsid w:val="33D939C5"/>
    <w:rsid w:val="35643762"/>
    <w:rsid w:val="366215F3"/>
    <w:rsid w:val="375C1208"/>
    <w:rsid w:val="3A573895"/>
    <w:rsid w:val="3CCB40C7"/>
    <w:rsid w:val="414D154E"/>
    <w:rsid w:val="419D1FF1"/>
    <w:rsid w:val="423A369C"/>
    <w:rsid w:val="47745A86"/>
    <w:rsid w:val="4B9C55AC"/>
    <w:rsid w:val="4BB723E6"/>
    <w:rsid w:val="526B5CD8"/>
    <w:rsid w:val="57C84FE8"/>
    <w:rsid w:val="5DEA03F9"/>
    <w:rsid w:val="5FF76DFD"/>
    <w:rsid w:val="608D150F"/>
    <w:rsid w:val="630E6937"/>
    <w:rsid w:val="683417A9"/>
    <w:rsid w:val="6D2E2E68"/>
    <w:rsid w:val="76AE6010"/>
    <w:rsid w:val="770A5210"/>
    <w:rsid w:val="7C5C02BC"/>
    <w:rsid w:val="7DF369FE"/>
    <w:rsid w:val="7F5259A6"/>
    <w:rsid w:val="7F8356D7"/>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65" w:lineRule="auto"/>
      <w:ind w:left="10" w:right="329" w:hanging="10"/>
    </w:pPr>
    <w:rPr>
      <w:rFonts w:ascii="宋体" w:hAnsi="宋体" w:eastAsia="宋体" w:cs="宋体"/>
      <w:color w:val="000000"/>
      <w:kern w:val="2"/>
      <w:sz w:val="21"/>
      <w:szCs w:val="22"/>
      <w:lang w:val="en-US" w:eastAsia="zh-CN" w:bidi="ar-SA"/>
    </w:rPr>
  </w:style>
  <w:style w:type="paragraph" w:styleId="2">
    <w:name w:val="heading 1"/>
    <w:next w:val="1"/>
    <w:link w:val="9"/>
    <w:qFormat/>
    <w:uiPriority w:val="9"/>
    <w:pPr>
      <w:keepNext/>
      <w:keepLines/>
      <w:spacing w:after="250" w:line="259" w:lineRule="auto"/>
      <w:ind w:left="10" w:right="281" w:hanging="10"/>
      <w:jc w:val="center"/>
      <w:outlineLvl w:val="0"/>
    </w:pPr>
    <w:rPr>
      <w:rFonts w:ascii="黑体" w:hAnsi="黑体" w:eastAsia="黑体" w:cs="黑体"/>
      <w:color w:val="000000"/>
      <w:kern w:val="2"/>
      <w:sz w:val="24"/>
      <w:szCs w:val="22"/>
      <w:lang w:val="en-US" w:eastAsia="zh-CN" w:bidi="ar-SA"/>
    </w:rPr>
  </w:style>
  <w:style w:type="paragraph" w:styleId="3">
    <w:name w:val="heading 2"/>
    <w:next w:val="1"/>
    <w:link w:val="8"/>
    <w:qFormat/>
    <w:uiPriority w:val="9"/>
    <w:pPr>
      <w:keepNext/>
      <w:keepLines/>
      <w:pBdr>
        <w:top w:val="single" w:color="000000" w:sz="4" w:space="0"/>
        <w:left w:val="single" w:color="000000" w:sz="4" w:space="0"/>
        <w:bottom w:val="single" w:color="000000" w:sz="4" w:space="0"/>
        <w:right w:val="single" w:color="000000" w:sz="4" w:space="0"/>
      </w:pBdr>
      <w:spacing w:after="145" w:line="265" w:lineRule="auto"/>
      <w:ind w:left="10" w:right="289" w:hanging="10"/>
      <w:outlineLvl w:val="1"/>
    </w:pPr>
    <w:rPr>
      <w:rFonts w:ascii="宋体" w:hAnsi="宋体" w:eastAsia="宋体" w:cs="宋体"/>
      <w:color w:val="000000"/>
      <w:kern w:val="2"/>
      <w:sz w:val="21"/>
      <w:szCs w:val="22"/>
      <w:lang w:val="en-US" w:eastAsia="zh-CN" w:bidi="ar-SA"/>
    </w:rPr>
  </w:style>
  <w:style w:type="character" w:default="1" w:styleId="6">
    <w:name w:val="Default Paragraph Font"/>
    <w:autoRedefine/>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4">
    <w:name w:val="annotation text"/>
    <w:basedOn w:val="1"/>
    <w:qFormat/>
    <w:uiPriority w:val="99"/>
  </w:style>
  <w:style w:type="character" w:styleId="7">
    <w:name w:val="annotation reference"/>
    <w:basedOn w:val="6"/>
    <w:qFormat/>
    <w:uiPriority w:val="99"/>
    <w:rPr>
      <w:sz w:val="21"/>
      <w:szCs w:val="21"/>
    </w:rPr>
  </w:style>
  <w:style w:type="character" w:customStyle="1" w:styleId="8">
    <w:name w:val="标题 2 字符"/>
    <w:link w:val="3"/>
    <w:qFormat/>
    <w:uiPriority w:val="0"/>
    <w:rPr>
      <w:rFonts w:ascii="宋体" w:hAnsi="宋体" w:eastAsia="宋体" w:cs="宋体"/>
      <w:color w:val="000000"/>
      <w:sz w:val="21"/>
    </w:rPr>
  </w:style>
  <w:style w:type="character" w:customStyle="1" w:styleId="9">
    <w:name w:val="标题 1 字符"/>
    <w:link w:val="2"/>
    <w:autoRedefine/>
    <w:qFormat/>
    <w:uiPriority w:val="0"/>
    <w:rPr>
      <w:rFonts w:ascii="黑体" w:hAnsi="黑体" w:eastAsia="黑体" w:cs="黑体"/>
      <w:color w:val="000000"/>
      <w:sz w:val="24"/>
    </w:rPr>
  </w:style>
  <w:style w:type="table" w:customStyle="1" w:styleId="1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6847</Words>
  <Characters>6984</Characters>
  <Paragraphs>462</Paragraphs>
  <TotalTime>54</TotalTime>
  <ScaleCrop>false</ScaleCrop>
  <LinksUpToDate>false</LinksUpToDate>
  <CharactersWithSpaces>7119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2023-03-07T11:28:00Z</dcterms:created>
  <dc:creator>zhu lili</dc:creator>
  <cp:lastModifiedBy>老K</cp:lastModifiedBy>
  <cp:lastPrinted>2024-02-29T08:58:00Z</cp:lastPrinted>
  <dcterms:modified xsi:type="dcterms:W3CDTF">2024-03-01T02:21:34Z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EE13130CE11A48D28493BF983888C2F0_13</vt:lpwstr>
  </property>
</Properties>
</file>